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6045" w14:textId="534D386C" w:rsidR="000F117C" w:rsidRDefault="000F117C" w:rsidP="0030621E">
      <w:pPr>
        <w:spacing w:line="480" w:lineRule="auto"/>
        <w:rPr>
          <w:i/>
          <w:iCs/>
        </w:rPr>
      </w:pPr>
    </w:p>
    <w:p w14:paraId="547A5B3A" w14:textId="750AB1A9" w:rsidR="000F117C" w:rsidRDefault="000F117C" w:rsidP="0030621E">
      <w:pPr>
        <w:spacing w:line="480" w:lineRule="auto"/>
        <w:rPr>
          <w:i/>
          <w:iCs/>
        </w:rPr>
      </w:pPr>
    </w:p>
    <w:p w14:paraId="364E8852" w14:textId="7DD0893A" w:rsidR="000F117C" w:rsidRDefault="000F117C" w:rsidP="0030621E">
      <w:pPr>
        <w:spacing w:line="480" w:lineRule="auto"/>
        <w:rPr>
          <w:i/>
          <w:iCs/>
        </w:rPr>
      </w:pPr>
    </w:p>
    <w:p w14:paraId="442D754C" w14:textId="1EF9CEEF" w:rsidR="000F117C" w:rsidRDefault="000F117C" w:rsidP="0030621E">
      <w:pPr>
        <w:spacing w:line="480" w:lineRule="auto"/>
        <w:rPr>
          <w:i/>
          <w:iCs/>
        </w:rPr>
      </w:pPr>
    </w:p>
    <w:p w14:paraId="548ACA5F" w14:textId="77777777" w:rsidR="000F117C" w:rsidRDefault="000F117C" w:rsidP="000F117C">
      <w:pPr>
        <w:spacing w:line="480" w:lineRule="auto"/>
      </w:pPr>
    </w:p>
    <w:p w14:paraId="6B828EAD" w14:textId="77777777" w:rsidR="000F117C" w:rsidRDefault="000F117C" w:rsidP="000F117C">
      <w:pPr>
        <w:spacing w:line="480" w:lineRule="auto"/>
        <w:jc w:val="center"/>
      </w:pPr>
    </w:p>
    <w:p w14:paraId="0AA87FD5" w14:textId="29AB0DD8" w:rsidR="000F117C" w:rsidRDefault="000F117C" w:rsidP="000F117C">
      <w:pPr>
        <w:spacing w:line="480" w:lineRule="auto"/>
        <w:jc w:val="center"/>
      </w:pPr>
      <w:r>
        <w:t>Natural Law’s Response to Adams</w:t>
      </w:r>
      <w:r w:rsidR="00040DC9">
        <w:t>’</w:t>
      </w:r>
      <w:r w:rsidR="00DB1B29">
        <w:t xml:space="preserve"> Alien </w:t>
      </w:r>
      <w:r w:rsidR="00D00DFC">
        <w:t>&amp;</w:t>
      </w:r>
      <w:r w:rsidR="00DB1B29">
        <w:t xml:space="preserve"> Sedition Acts</w:t>
      </w:r>
    </w:p>
    <w:p w14:paraId="7D3CC0F4" w14:textId="77777777" w:rsidR="000F117C" w:rsidRDefault="000F117C" w:rsidP="000F117C">
      <w:pPr>
        <w:spacing w:line="480" w:lineRule="auto"/>
        <w:jc w:val="center"/>
      </w:pPr>
    </w:p>
    <w:p w14:paraId="1EC341C9" w14:textId="77777777" w:rsidR="000F117C" w:rsidRDefault="000F117C" w:rsidP="000F117C">
      <w:pPr>
        <w:spacing w:line="480" w:lineRule="auto"/>
        <w:jc w:val="center"/>
      </w:pPr>
    </w:p>
    <w:p w14:paraId="43BF7A49" w14:textId="77777777" w:rsidR="000F117C" w:rsidRDefault="000F117C" w:rsidP="000F117C">
      <w:pPr>
        <w:spacing w:line="480" w:lineRule="auto"/>
        <w:jc w:val="center"/>
      </w:pPr>
    </w:p>
    <w:p w14:paraId="261628DE" w14:textId="77777777" w:rsidR="00826C01" w:rsidRDefault="00826C01" w:rsidP="000F117C">
      <w:pPr>
        <w:spacing w:line="480" w:lineRule="auto"/>
        <w:jc w:val="center"/>
      </w:pPr>
    </w:p>
    <w:p w14:paraId="23C31A30" w14:textId="111D24B7" w:rsidR="000F117C" w:rsidRDefault="000F117C" w:rsidP="000F117C">
      <w:pPr>
        <w:spacing w:line="480" w:lineRule="auto"/>
        <w:jc w:val="center"/>
      </w:pPr>
      <w:r>
        <w:t>Trey Griffin Coleman</w:t>
      </w:r>
    </w:p>
    <w:p w14:paraId="0ED06AD9" w14:textId="703C4D51" w:rsidR="000F117C" w:rsidRDefault="000F117C" w:rsidP="000F117C">
      <w:pPr>
        <w:spacing w:line="480" w:lineRule="auto"/>
        <w:jc w:val="center"/>
      </w:pPr>
      <w:r>
        <w:t xml:space="preserve">History </w:t>
      </w:r>
      <w:r w:rsidR="00DB1B29">
        <w:t>200: Historian’s Craft</w:t>
      </w:r>
    </w:p>
    <w:p w14:paraId="6C9FBE47" w14:textId="67116102" w:rsidR="000F117C" w:rsidRDefault="00DB1B29" w:rsidP="000F117C">
      <w:pPr>
        <w:spacing w:line="480" w:lineRule="auto"/>
        <w:jc w:val="center"/>
      </w:pPr>
      <w:r>
        <w:t>April 5</w:t>
      </w:r>
      <w:r w:rsidR="000F117C">
        <w:t>, 202</w:t>
      </w:r>
      <w:r>
        <w:t>3</w:t>
      </w:r>
    </w:p>
    <w:p w14:paraId="2257B1BD" w14:textId="4DE4A5DB" w:rsidR="000F117C" w:rsidRPr="000F117C" w:rsidRDefault="000F117C">
      <w:r>
        <w:br w:type="page"/>
      </w:r>
    </w:p>
    <w:p w14:paraId="786DB062" w14:textId="3439E419" w:rsidR="00944866" w:rsidRPr="000F117C" w:rsidRDefault="00944866" w:rsidP="0030621E">
      <w:pPr>
        <w:spacing w:line="480" w:lineRule="auto"/>
        <w:rPr>
          <w:i/>
          <w:iCs/>
        </w:rPr>
      </w:pPr>
      <w:r>
        <w:rPr>
          <w:i/>
          <w:iCs/>
        </w:rPr>
        <w:lastRenderedPageBreak/>
        <w:t>Intro</w:t>
      </w:r>
    </w:p>
    <w:p w14:paraId="19F01390" w14:textId="53239FB3" w:rsidR="00CF496E" w:rsidRDefault="00D662C9" w:rsidP="00CF496E">
      <w:pPr>
        <w:spacing w:line="480" w:lineRule="auto"/>
        <w:ind w:firstLine="720"/>
      </w:pPr>
      <w:r w:rsidRPr="00D8600C">
        <w:t xml:space="preserve">In the LDS church’s scriptural cannon, there is a verse which </w:t>
      </w:r>
      <w:r w:rsidR="0074163D">
        <w:t>states,</w:t>
      </w:r>
      <w:r w:rsidRPr="00D8600C">
        <w:t xml:space="preserve"> “the natural man is an enemy to God” </w:t>
      </w:r>
      <w:r w:rsidR="0074163D">
        <w:t xml:space="preserve">and </w:t>
      </w:r>
      <w:r w:rsidR="0074163D" w:rsidRPr="00D8600C">
        <w:t>will be that way “forever and ever, unless he yields to the entices of the Holy Spirit.”</w:t>
      </w:r>
      <w:r w:rsidR="0074163D" w:rsidRPr="00D8600C">
        <w:rPr>
          <w:rStyle w:val="FootnoteReference"/>
        </w:rPr>
        <w:footnoteReference w:id="1"/>
      </w:r>
      <w:r w:rsidR="0074163D">
        <w:t xml:space="preserve"> </w:t>
      </w:r>
      <w:r w:rsidRPr="00D8600C">
        <w:t xml:space="preserve">Benjamin Franklin, in a letter to Tom Paine, spoke </w:t>
      </w:r>
      <w:r w:rsidR="0074163D">
        <w:t xml:space="preserve">about </w:t>
      </w:r>
      <w:r w:rsidRPr="00D8600C">
        <w:t xml:space="preserve">“how great a portion of mankind consists of weak an ignorant men and women… who have need of the motives of religion to restrain them from vice, to support their virtue, and retain them in the practice of it till it becomes habitual” </w:t>
      </w:r>
      <w:r w:rsidR="0074163D">
        <w:t xml:space="preserve">and then </w:t>
      </w:r>
      <w:r w:rsidRPr="00D8600C">
        <w:t>asked, “If men are so wicked with religion, what would they be if without it?”</w:t>
      </w:r>
      <w:r w:rsidRPr="00D8600C">
        <w:rPr>
          <w:rStyle w:val="FootnoteReference"/>
        </w:rPr>
        <w:footnoteReference w:id="2"/>
      </w:r>
      <w:r w:rsidRPr="00D8600C">
        <w:t xml:space="preserve"> His first instinct is that the natural man should be constrained by religious practic</w:t>
      </w:r>
      <w:r w:rsidR="0074163D">
        <w:t xml:space="preserve">e. </w:t>
      </w:r>
      <w:r w:rsidRPr="00D8600C">
        <w:t xml:space="preserve">In Franklin’s letter, we can begin seeing how the Founding Fathers viewed man and </w:t>
      </w:r>
      <w:r w:rsidR="0074163D">
        <w:t>man’s</w:t>
      </w:r>
      <w:r w:rsidRPr="00D8600C">
        <w:t xml:space="preserve"> natural state</w:t>
      </w:r>
      <w:r>
        <w:t xml:space="preserve">. The Founders </w:t>
      </w:r>
      <w:r w:rsidR="0065266D">
        <w:t xml:space="preserve">held a pessimistic view of human nature. </w:t>
      </w:r>
      <w:r w:rsidR="00CF496E">
        <w:t>T</w:t>
      </w:r>
      <w:r w:rsidR="0065266D">
        <w:t xml:space="preserve">hat is </w:t>
      </w:r>
      <w:r w:rsidR="000C257B">
        <w:t>as</w:t>
      </w:r>
      <w:r w:rsidR="0065266D">
        <w:t xml:space="preserve"> well-known as their strong advocacy for Natural Law. But this beg</w:t>
      </w:r>
      <w:r w:rsidR="007C7EDB">
        <w:t>ets</w:t>
      </w:r>
      <w:r w:rsidR="0065266D">
        <w:t xml:space="preserve"> a slew of questions, some attempted to be answered more than others. </w:t>
      </w:r>
      <w:r w:rsidR="005C3FB2">
        <w:t>On</w:t>
      </w:r>
      <w:r w:rsidR="0074163D">
        <w:t>e</w:t>
      </w:r>
      <w:r w:rsidR="005C3FB2">
        <w:t xml:space="preserve"> question is</w:t>
      </w:r>
      <w:r w:rsidR="00CF496E">
        <w:t>:</w:t>
      </w:r>
      <w:r w:rsidR="0065266D">
        <w:t xml:space="preserve"> </w:t>
      </w:r>
      <w:r w:rsidR="00CF496E">
        <w:t>H</w:t>
      </w:r>
      <w:r w:rsidR="0065266D">
        <w:t>ow does Natural Law respond to the rapacious and vile nature of humankind?</w:t>
      </w:r>
      <w:r w:rsidR="00CF496E">
        <w:t xml:space="preserve">  </w:t>
      </w:r>
      <w:r w:rsidR="0065266D">
        <w:t xml:space="preserve">It is </w:t>
      </w:r>
      <w:r w:rsidR="005C3FB2">
        <w:t>this</w:t>
      </w:r>
      <w:r w:rsidR="0065266D">
        <w:t xml:space="preserve"> question </w:t>
      </w:r>
      <w:r w:rsidR="007C7EDB">
        <w:t xml:space="preserve">to </w:t>
      </w:r>
      <w:r w:rsidR="0065266D">
        <w:t>which this paper hopes to respond</w:t>
      </w:r>
      <w:r w:rsidR="00CF496E">
        <w:t xml:space="preserve"> </w:t>
      </w:r>
      <w:r w:rsidR="008B59DC">
        <w:t xml:space="preserve">by </w:t>
      </w:r>
      <w:r w:rsidR="00D46A22">
        <w:t>analyzing</w:t>
      </w:r>
      <w:r w:rsidR="008B59DC">
        <w:t xml:space="preserve"> the Alien and Sedition Acts passed by </w:t>
      </w:r>
      <w:r w:rsidR="00CF496E">
        <w:t>John Adams the second President of the United States</w:t>
      </w:r>
      <w:r w:rsidR="008B59DC">
        <w:t xml:space="preserve"> </w:t>
      </w:r>
      <w:r w:rsidR="00D46A22">
        <w:t>and asking if they are contrary to, or comport with, Natural Law.</w:t>
      </w:r>
    </w:p>
    <w:p w14:paraId="04A35FEA" w14:textId="6BE82566" w:rsidR="00455A6E" w:rsidRPr="00455A6E" w:rsidRDefault="007C7EDB" w:rsidP="00CF496E">
      <w:pPr>
        <w:spacing w:line="480" w:lineRule="auto"/>
        <w:ind w:firstLine="720"/>
      </w:pPr>
      <w:r>
        <w:t>H</w:t>
      </w:r>
      <w:r w:rsidR="0065266D">
        <w:t xml:space="preserve">umankind is </w:t>
      </w:r>
      <w:r>
        <w:t xml:space="preserve">a </w:t>
      </w:r>
      <w:r w:rsidR="0065266D">
        <w:t xml:space="preserve">broad a group with diverse backgrounds and histories. </w:t>
      </w:r>
      <w:r w:rsidR="00455A6E">
        <w:t xml:space="preserve">And as Natural Law is defined, and by </w:t>
      </w:r>
      <w:r w:rsidR="00ED61B8">
        <w:t>understanding</w:t>
      </w:r>
      <w:r w:rsidR="00455A6E">
        <w:t xml:space="preserve"> </w:t>
      </w:r>
      <w:r>
        <w:t>the views th</w:t>
      </w:r>
      <w:r w:rsidR="00455A6E">
        <w:t xml:space="preserve">e Founders held, it will be seen that </w:t>
      </w:r>
      <w:r w:rsidR="00D46A22">
        <w:t>the passage of the Alien and Sedition Acts were contrary to Natural Law and showed Adam’s to be hypocritical</w:t>
      </w:r>
      <w:r w:rsidR="00455A6E">
        <w:t xml:space="preserve">. This idea will be supported by going through the big </w:t>
      </w:r>
      <w:r w:rsidR="00040DC9">
        <w:t>four</w:t>
      </w:r>
      <w:r w:rsidR="00455A6E">
        <w:t xml:space="preserve"> philosophers the Founders paid attention to concerning Natural Law, then examining how these understandings applied to </w:t>
      </w:r>
      <w:r w:rsidR="00A803B4">
        <w:t xml:space="preserve">the passage of the </w:t>
      </w:r>
      <w:r w:rsidR="00A803B4" w:rsidRPr="00EA77C4">
        <w:t>Alien and Sedition Acts</w:t>
      </w:r>
      <w:r w:rsidR="00455A6E">
        <w:t>.</w:t>
      </w:r>
    </w:p>
    <w:p w14:paraId="0BB8BF8F" w14:textId="74F9B31B" w:rsidR="00B543B6" w:rsidRDefault="00455A6E" w:rsidP="00B543B6">
      <w:pPr>
        <w:spacing w:line="480" w:lineRule="auto"/>
      </w:pPr>
      <w:r>
        <w:rPr>
          <w:b/>
          <w:bCs/>
        </w:rPr>
        <w:lastRenderedPageBreak/>
        <w:tab/>
      </w:r>
      <w:r w:rsidR="00B543B6">
        <w:t>F</w:t>
      </w:r>
      <w:r w:rsidR="00B543B6" w:rsidRPr="00B543B6">
        <w:t xml:space="preserve">or more than two millennia, the quest to define </w:t>
      </w:r>
      <w:r w:rsidR="00CF496E">
        <w:t>N</w:t>
      </w:r>
      <w:r w:rsidR="00B543B6" w:rsidRPr="00B543B6">
        <w:t xml:space="preserve">atural </w:t>
      </w:r>
      <w:r w:rsidR="00CF496E">
        <w:t>La</w:t>
      </w:r>
      <w:r w:rsidR="00B543B6" w:rsidRPr="00B543B6">
        <w:t xml:space="preserve">w has engaged the minds of numerous philosophers and thinkers. By the </w:t>
      </w:r>
      <w:r w:rsidR="00B543B6">
        <w:t>time</w:t>
      </w:r>
      <w:r w:rsidR="00B543B6" w:rsidRPr="00B543B6">
        <w:t xml:space="preserve"> of the American Revolution, a vast array of intellectual luminaries had already expounded their views on the matter—among them, Aristotle, Cicero, John Locke, Matthew Hale, and even the Apostle Paul. Indeed, the ensuing years have only added to </w:t>
      </w:r>
      <w:r w:rsidR="00B543B6">
        <w:t>this collection of political theory</w:t>
      </w:r>
      <w:r w:rsidR="007C7EDB">
        <w:t>.</w:t>
      </w:r>
    </w:p>
    <w:p w14:paraId="1C24BB36" w14:textId="3421BAF8" w:rsidR="00040DC9" w:rsidRPr="00B543B6" w:rsidRDefault="00040DC9" w:rsidP="00B543B6">
      <w:pPr>
        <w:spacing w:line="480" w:lineRule="auto"/>
      </w:pPr>
      <w:r>
        <w:tab/>
        <w:t xml:space="preserve">And the inquiries into the Founding Father’s is no small matter of historiography either. </w:t>
      </w:r>
      <w:r w:rsidR="000C2100">
        <w:t>It reflects the growing complexity and evolving understanding of the philosophical principles discussed by the intellectuals mentioned above. Early historiographical works, such as “An Economic Interpretation of the Constitution” in 1913 by Charles A. Beard promotes that the Founders were motivated mostly by economic self-interest rather than Natural Law, which he viewed as a convenient excuse for the Founders rather than a true guiding principle.</w:t>
      </w:r>
      <w:r w:rsidR="000F253A">
        <w:rPr>
          <w:rStyle w:val="FootnoteReference"/>
        </w:rPr>
        <w:footnoteReference w:id="3"/>
      </w:r>
      <w:r w:rsidR="000C2100">
        <w:t xml:space="preserve"> However, Douglass Adair’s research, compiled into a series of essays titled “Fame and the Founding Fathers”</w:t>
      </w:r>
      <w:r w:rsidR="00780C82">
        <w:t>, pushed back by highlighting the role that principles such as virtue and honor shaped the Founding Fathers political thought.</w:t>
      </w:r>
      <w:r w:rsidR="000F253A">
        <w:rPr>
          <w:rStyle w:val="FootnoteReference"/>
        </w:rPr>
        <w:footnoteReference w:id="4"/>
      </w:r>
      <w:r w:rsidR="00780C82">
        <w:t xml:space="preserve"> If looking more specifically at the Founders and Natural Law, Garry Wills’ “Inventing America” discussed the point importance of the Enlighte</w:t>
      </w:r>
      <w:r w:rsidR="00CF496E">
        <w:t>n</w:t>
      </w:r>
      <w:r w:rsidR="00780C82">
        <w:t xml:space="preserve">ment on the Founders’ conceptions of Natural </w:t>
      </w:r>
      <w:r w:rsidR="008B59DC">
        <w:t>Law,</w:t>
      </w:r>
      <w:r w:rsidR="00780C82">
        <w:t xml:space="preserve"> and this came out in 1978.</w:t>
      </w:r>
      <w:r w:rsidR="000F253A">
        <w:rPr>
          <w:rStyle w:val="FootnoteReference"/>
        </w:rPr>
        <w:footnoteReference w:id="5"/>
      </w:r>
      <w:r w:rsidR="00780C82">
        <w:t xml:space="preserve"> More recent scholarship, however, seems to focus on the contradictions highlighted in the Founders’ views on Natural Law. When looking at slavery or women’s rights, there is a glaring paradox with their commitment to “all men are created equal.”</w:t>
      </w:r>
      <w:r w:rsidR="00780C82">
        <w:rPr>
          <w:rStyle w:val="FootnoteReference"/>
        </w:rPr>
        <w:footnoteReference w:id="6"/>
      </w:r>
      <w:r w:rsidR="00780C82">
        <w:t xml:space="preserve"> This paper is part of that trend of recent scholarship.</w:t>
      </w:r>
    </w:p>
    <w:p w14:paraId="49999176" w14:textId="46999842" w:rsidR="00B543B6" w:rsidRPr="00B543B6" w:rsidRDefault="00CF496E" w:rsidP="00B543B6">
      <w:pPr>
        <w:spacing w:line="480" w:lineRule="auto"/>
        <w:ind w:firstLine="720"/>
      </w:pPr>
      <w:r>
        <w:lastRenderedPageBreak/>
        <w:t>W</w:t>
      </w:r>
      <w:r w:rsidR="00B543B6" w:rsidRPr="00B543B6">
        <w:t>hen exploring the intellectual foundations of the American Founders, four</w:t>
      </w:r>
      <w:r w:rsidR="00B543B6">
        <w:t xml:space="preserve"> </w:t>
      </w:r>
      <w:r w:rsidR="00B543B6" w:rsidRPr="00B543B6">
        <w:t>figures stand ou</w:t>
      </w:r>
      <w:r w:rsidR="00B543B6">
        <w:t>t</w:t>
      </w:r>
      <w:r w:rsidR="00B543B6" w:rsidRPr="00B543B6">
        <w:t xml:space="preserve">: Thomas Aquinas, John Locke, Jean-Jacques Rousseau, and Thomas Hobbes. These </w:t>
      </w:r>
      <w:r w:rsidR="00B543B6">
        <w:t>intellects</w:t>
      </w:r>
      <w:r w:rsidR="00B543B6" w:rsidRPr="00B543B6">
        <w:t xml:space="preserve">, each offering their distinct perspectives on the concept of </w:t>
      </w:r>
      <w:r>
        <w:t>N</w:t>
      </w:r>
      <w:r w:rsidR="00B543B6" w:rsidRPr="00B543B6">
        <w:t xml:space="preserve">atural </w:t>
      </w:r>
      <w:r>
        <w:t>L</w:t>
      </w:r>
      <w:r w:rsidR="00B543B6" w:rsidRPr="00B543B6">
        <w:t xml:space="preserve">aw, helped </w:t>
      </w:r>
      <w:r w:rsidR="00ED61B8" w:rsidRPr="00B543B6">
        <w:t>shape</w:t>
      </w:r>
      <w:r w:rsidR="00B543B6">
        <w:t xml:space="preserve"> the Founders in their own political leanings.</w:t>
      </w:r>
    </w:p>
    <w:p w14:paraId="7AF29124" w14:textId="7936AAF1" w:rsidR="002D254D" w:rsidRPr="000F117C" w:rsidRDefault="00944866" w:rsidP="0030621E">
      <w:pPr>
        <w:spacing w:line="480" w:lineRule="auto"/>
        <w:rPr>
          <w:i/>
          <w:iCs/>
        </w:rPr>
      </w:pPr>
      <w:r>
        <w:rPr>
          <w:i/>
          <w:iCs/>
        </w:rPr>
        <w:t>Thomas Aquinas</w:t>
      </w:r>
    </w:p>
    <w:p w14:paraId="639EB709" w14:textId="7A87A8F1" w:rsidR="008B3BE2" w:rsidRPr="008B3BE2" w:rsidRDefault="008B3BE2" w:rsidP="0030621E">
      <w:pPr>
        <w:spacing w:line="480" w:lineRule="auto"/>
        <w:ind w:firstLine="720"/>
      </w:pPr>
      <w:r w:rsidRPr="008B3BE2">
        <w:t xml:space="preserve">Thomas Aquinas, a revered saint of the Catholic Church in the 13th century, was deeply influenced by the ideas of the eminent philosopher Aristotle. In seeking to integrate Aristotle's philosophical teachings with Christian tenets, Aquinas referred to him simply as "the Philosopher." One of the key areas where their thoughts converged was the concept of </w:t>
      </w:r>
      <w:r w:rsidR="00A65514">
        <w:t>Natural Law</w:t>
      </w:r>
      <w:r w:rsidRPr="008B3BE2">
        <w:t>.</w:t>
      </w:r>
    </w:p>
    <w:p w14:paraId="5AE0BE4B" w14:textId="79E39A3D" w:rsidR="008B3BE2" w:rsidRPr="008B3BE2" w:rsidRDefault="008B3BE2" w:rsidP="0030621E">
      <w:pPr>
        <w:spacing w:line="480" w:lineRule="auto"/>
        <w:ind w:firstLine="720"/>
      </w:pPr>
      <w:r w:rsidRPr="008B3BE2">
        <w:t xml:space="preserve">In his magnum opus, the unfinished Summa Theologica, Aquinas posits that </w:t>
      </w:r>
      <w:r w:rsidR="00A65514">
        <w:t>Natural Law</w:t>
      </w:r>
      <w:r w:rsidRPr="008B3BE2">
        <w:t xml:space="preserve"> is underpinned by certain universal precepts known to all, which are indelibly inscribed in the hearts of men. However, he asserts that these precepts can be "blotted out</w:t>
      </w:r>
      <w:r>
        <w:t>… in so far as</w:t>
      </w:r>
      <w:r w:rsidRPr="008B3BE2">
        <w:t xml:space="preserve"> reason is hindered</w:t>
      </w:r>
      <w:r w:rsidR="000C257B">
        <w:t>,”</w:t>
      </w:r>
      <w:r w:rsidRPr="008B3BE2">
        <w:t xml:space="preserve"> thereby disrupting the proper functioning of </w:t>
      </w:r>
      <w:r w:rsidR="00A65514">
        <w:t>Natural Law</w:t>
      </w:r>
      <w:r w:rsidRPr="008B3BE2">
        <w:t>.</w:t>
      </w:r>
      <w:r>
        <w:rPr>
          <w:rStyle w:val="FootnoteReference"/>
        </w:rPr>
        <w:footnoteReference w:id="7"/>
      </w:r>
      <w:r w:rsidRPr="008B3BE2">
        <w:t xml:space="preserve"> Aquinas further suggests that reason also encompasses the pursuit of moral goodness and the avoidance of evil.</w:t>
      </w:r>
    </w:p>
    <w:p w14:paraId="5FBE6F75" w14:textId="3365EDFA" w:rsidR="00974287" w:rsidRDefault="008B3BE2" w:rsidP="000F117C">
      <w:pPr>
        <w:spacing w:line="480" w:lineRule="auto"/>
        <w:ind w:firstLine="720"/>
      </w:pPr>
      <w:r w:rsidRPr="008B3BE2">
        <w:t xml:space="preserve">In Aquinas' view, </w:t>
      </w:r>
      <w:r w:rsidR="00A65514">
        <w:t>Natural Law</w:t>
      </w:r>
      <w:r w:rsidRPr="008B3BE2">
        <w:t xml:space="preserve"> is intimately concerned with both action and motive, as informed by the principles of Catholicism. For an individual's choices to be considered morally sound, their motives must align with the cardinal virtues—prudence, justice, temperance, fortitude, faith, hope, and charity. A deficiency in any of these virtues could impair one's capacity for moral decision-making, thereby impeding the proper application of </w:t>
      </w:r>
      <w:r w:rsidR="00A65514">
        <w:t>Natural Law</w:t>
      </w:r>
      <w:r w:rsidRPr="008B3BE2">
        <w:t>.</w:t>
      </w:r>
    </w:p>
    <w:p w14:paraId="6DB5016B" w14:textId="77777777" w:rsidR="00826C01" w:rsidRDefault="00826C01" w:rsidP="000A2C3F">
      <w:pPr>
        <w:spacing w:line="480" w:lineRule="auto"/>
        <w:rPr>
          <w:i/>
          <w:iCs/>
        </w:rPr>
      </w:pPr>
    </w:p>
    <w:p w14:paraId="437FCA1B" w14:textId="77777777" w:rsidR="00826C01" w:rsidRDefault="00826C01" w:rsidP="000A2C3F">
      <w:pPr>
        <w:spacing w:line="480" w:lineRule="auto"/>
        <w:rPr>
          <w:i/>
          <w:iCs/>
        </w:rPr>
      </w:pPr>
    </w:p>
    <w:p w14:paraId="4266906E" w14:textId="54044960" w:rsidR="000A2C3F" w:rsidRDefault="00944866" w:rsidP="000A2C3F">
      <w:pPr>
        <w:spacing w:line="480" w:lineRule="auto"/>
        <w:rPr>
          <w:i/>
          <w:iCs/>
        </w:rPr>
      </w:pPr>
      <w:r>
        <w:rPr>
          <w:i/>
          <w:iCs/>
        </w:rPr>
        <w:lastRenderedPageBreak/>
        <w:t>John Locke</w:t>
      </w:r>
    </w:p>
    <w:p w14:paraId="4724175A" w14:textId="4B73672D" w:rsidR="00974287" w:rsidRPr="000A2C3F" w:rsidRDefault="00974287" w:rsidP="000A2C3F">
      <w:pPr>
        <w:spacing w:line="480" w:lineRule="auto"/>
        <w:ind w:firstLine="720"/>
        <w:rPr>
          <w:i/>
          <w:iCs/>
        </w:rPr>
      </w:pPr>
      <w:r w:rsidRPr="00866875">
        <w:t>In Locke's estimat</w:t>
      </w:r>
      <w:r w:rsidR="00CD0E7D">
        <w:t>ion, mankind</w:t>
      </w:r>
      <w:r w:rsidR="00CD0E7D" w:rsidRPr="00866875">
        <w:t xml:space="preserve"> </w:t>
      </w:r>
      <w:r w:rsidRPr="00866875">
        <w:t>is as a "white paper, void of all characters, without any ideas"</w:t>
      </w:r>
      <w:r w:rsidR="0076436C">
        <w:rPr>
          <w:rStyle w:val="FootnoteReference"/>
        </w:rPr>
        <w:footnoteReference w:id="8"/>
      </w:r>
      <w:r w:rsidRPr="00866875">
        <w:t xml:space="preserve"> - a clean slate, if you will. This notion serves as the very foundation of his perspective on human nature</w:t>
      </w:r>
      <w:r w:rsidR="00A65514">
        <w:t xml:space="preserve"> a</w:t>
      </w:r>
      <w:r w:rsidRPr="00866875">
        <w:t>nd to f</w:t>
      </w:r>
      <w:r w:rsidR="007C7EDB">
        <w:t>ill</w:t>
      </w:r>
      <w:r w:rsidRPr="00866875">
        <w:t xml:space="preserve"> these empty pages, there are modes which humanity employs.</w:t>
      </w:r>
    </w:p>
    <w:p w14:paraId="4EA0B0EF" w14:textId="2C82EB8F" w:rsidR="00974287" w:rsidRPr="00866875" w:rsidRDefault="00974287" w:rsidP="0030621E">
      <w:pPr>
        <w:spacing w:line="480" w:lineRule="auto"/>
        <w:ind w:firstLine="720"/>
      </w:pPr>
      <w:r w:rsidRPr="00866875">
        <w:t>The first mode suggests that man relies on the senses to "convey into the mind several distinct perceptions of things."</w:t>
      </w:r>
      <w:r w:rsidR="0076436C" w:rsidRPr="00B86F66">
        <w:rPr>
          <w:rStyle w:val="FootnoteReference"/>
        </w:rPr>
        <w:footnoteReference w:id="9"/>
      </w:r>
      <w:r w:rsidRPr="00866875">
        <w:t xml:space="preserve"> These perceptions arise directly from the engagement of our five senses: touch, hear, see, smell, and taste. Thus, a perception might be characterized as "yellow, white, heat, cold, soft, hard."</w:t>
      </w:r>
      <w:r w:rsidR="0076436C" w:rsidRPr="00B86F66">
        <w:rPr>
          <w:rStyle w:val="FootnoteReference"/>
        </w:rPr>
        <w:footnoteReference w:id="10"/>
      </w:r>
    </w:p>
    <w:p w14:paraId="05B0A77B" w14:textId="20718FF6" w:rsidR="00974287" w:rsidRPr="00866875" w:rsidRDefault="00974287" w:rsidP="0030621E">
      <w:pPr>
        <w:spacing w:line="480" w:lineRule="auto"/>
        <w:ind w:firstLine="720"/>
      </w:pPr>
      <w:r w:rsidRPr="00866875">
        <w:t xml:space="preserve">Yet humanity does not merely perceive things </w:t>
      </w:r>
      <w:r w:rsidR="00ED61B8" w:rsidRPr="00866875">
        <w:t>externally but</w:t>
      </w:r>
      <w:r w:rsidRPr="00866875">
        <w:t xml:space="preserve"> brings them within to reflect upon them. This introspection is the second mode, whereby "experience furnisheth the understanding with ideas."</w:t>
      </w:r>
      <w:r w:rsidR="0076436C" w:rsidRPr="00B86F66">
        <w:rPr>
          <w:rStyle w:val="FootnoteReference"/>
        </w:rPr>
        <w:footnoteReference w:id="11"/>
      </w:r>
      <w:r w:rsidRPr="00866875">
        <w:t xml:space="preserve"> By contemplating the senses, our minds endeavor to understand their own inner workings. In doing so, we may begin to grasp abstract concepts like "perception, thinking, doubting, believing, reasoning... and all."</w:t>
      </w:r>
      <w:r w:rsidR="0076436C" w:rsidRPr="00B86F66">
        <w:rPr>
          <w:rStyle w:val="FootnoteReference"/>
        </w:rPr>
        <w:footnoteReference w:id="12"/>
      </w:r>
    </w:p>
    <w:p w14:paraId="6515C750" w14:textId="1AE0E38B" w:rsidR="00974287" w:rsidRPr="00866875" w:rsidRDefault="00974287" w:rsidP="0030621E">
      <w:pPr>
        <w:spacing w:line="480" w:lineRule="auto"/>
        <w:ind w:firstLine="720"/>
      </w:pPr>
      <w:r w:rsidRPr="00866875">
        <w:t>Locke's exploration of these concepts stems from a desire to comprehend the larger implications of his writings. Locke's political philosophy hinges upon the idea that men begin as blank slates. Many at the time believed that humans were born with innate notions, carrying them into the world from birth</w:t>
      </w:r>
      <w:r w:rsidR="0077131F">
        <w:t xml:space="preserve"> a possible term for such being a priori</w:t>
      </w:r>
      <w:r w:rsidRPr="00866875">
        <w:t>. According to Locke, however, "all men begin in a state of perfect freedom to order their actions."</w:t>
      </w:r>
      <w:r w:rsidR="0076436C" w:rsidRPr="00B86F66">
        <w:rPr>
          <w:rStyle w:val="FootnoteReference"/>
        </w:rPr>
        <w:footnoteReference w:id="13"/>
      </w:r>
    </w:p>
    <w:p w14:paraId="0F8C39A8" w14:textId="73B9E132" w:rsidR="00974287" w:rsidRPr="00866875" w:rsidRDefault="00974287" w:rsidP="0030621E">
      <w:pPr>
        <w:spacing w:line="480" w:lineRule="auto"/>
        <w:ind w:firstLine="720"/>
      </w:pPr>
      <w:r w:rsidRPr="00866875">
        <w:lastRenderedPageBreak/>
        <w:t>This state is one of equality, for no individual possesses more than another. Locke finds evidence of this natural state among members of the same species, who share not only the same faculties, but also an inherent equality "one amongst another without subordination or subjection."</w:t>
      </w:r>
      <w:r w:rsidR="00B86F66" w:rsidRPr="00B86F66">
        <w:rPr>
          <w:rStyle w:val="FootnoteReference"/>
        </w:rPr>
        <w:footnoteReference w:id="14"/>
      </w:r>
    </w:p>
    <w:p w14:paraId="118CA399" w14:textId="76C7C706" w:rsidR="00974287" w:rsidRPr="00866875" w:rsidRDefault="00974287" w:rsidP="0030621E">
      <w:pPr>
        <w:spacing w:line="480" w:lineRule="auto"/>
        <w:ind w:firstLine="720"/>
      </w:pPr>
      <w:r w:rsidRPr="00866875">
        <w:t xml:space="preserve">In nature, humankind exists as equals, with no man subject or subordinate to another. If this is the case, what then prompts us to form social contracts? Why do we subject ourselves to the will of others? Or, in Locke's time, why were men subject to the Sovereign? While Hobbes argued that humans were born into a state of war, each striving to dominate the other, Locke's perspective differed slightly. Although he believed that men began as equals, he also posited that in a state of nature, </w:t>
      </w:r>
      <w:r w:rsidR="00A65514">
        <w:t xml:space="preserve">men </w:t>
      </w:r>
      <w:r w:rsidRPr="00866875">
        <w:t>"may punish another for any evil he has done."</w:t>
      </w:r>
      <w:r w:rsidR="00B86F66" w:rsidRPr="00B86F66">
        <w:rPr>
          <w:rStyle w:val="FootnoteReference"/>
        </w:rPr>
        <w:footnoteReference w:id="15"/>
      </w:r>
      <w:r w:rsidRPr="00866875">
        <w:t xml:space="preserve"> With perfect equality comes "no superiority or jurisdiction of one over another,"</w:t>
      </w:r>
      <w:r w:rsidR="00B86F66" w:rsidRPr="00B86F66">
        <w:rPr>
          <w:rStyle w:val="FootnoteReference"/>
        </w:rPr>
        <w:footnoteReference w:id="16"/>
      </w:r>
      <w:r w:rsidRPr="00866875">
        <w:t xml:space="preserve"> and in the absence of a sovereign to enforce the law, every individual holds the right to execute the law of nature as they see fit. Moreover, Locke concluded that "each transgression may be punished to that degree, and with so much severity, as will suffice to make it an ill bargain to the offender."</w:t>
      </w:r>
      <w:r w:rsidR="00B86F66" w:rsidRPr="00B86F66">
        <w:rPr>
          <w:rStyle w:val="FootnoteReference"/>
        </w:rPr>
        <w:footnoteReference w:id="17"/>
      </w:r>
    </w:p>
    <w:p w14:paraId="5B6CD595" w14:textId="77FDE970" w:rsidR="00974287" w:rsidRPr="00866875" w:rsidRDefault="00974287" w:rsidP="0030621E">
      <w:pPr>
        <w:spacing w:line="480" w:lineRule="auto"/>
        <w:ind w:firstLine="720"/>
      </w:pPr>
      <w:r w:rsidRPr="00866875">
        <w:t xml:space="preserve">Locke recognized the inevitable outcome of such unrestrained punishment: an escalating cycle of retribution, driving mankind into a state of war. </w:t>
      </w:r>
      <w:r w:rsidR="000C257B" w:rsidRPr="00866875">
        <w:t>To</w:t>
      </w:r>
      <w:r w:rsidRPr="00866875">
        <w:t xml:space="preserve"> prevent this escalation, he proposed that men exchange their natural liberty for a different form of societal freedom. "The natural liberty of man is to be free from any superior power on earth,"</w:t>
      </w:r>
      <w:r w:rsidR="00B86F66" w:rsidRPr="00B86F66">
        <w:rPr>
          <w:rStyle w:val="FootnoteReference"/>
        </w:rPr>
        <w:footnoteReference w:id="18"/>
      </w:r>
      <w:r w:rsidRPr="00866875">
        <w:t xml:space="preserve"> he reasoned. Thus, humanity relinquishes this liberty for one "under no other legislative power, but that established, by consent, in the commonwealth."</w:t>
      </w:r>
      <w:r w:rsidR="00B86F66" w:rsidRPr="00B86F66">
        <w:rPr>
          <w:rStyle w:val="FootnoteReference"/>
        </w:rPr>
        <w:footnoteReference w:id="19"/>
      </w:r>
      <w:r w:rsidR="00197FE8">
        <w:t xml:space="preserve"> This consolidates his conceptualization of the social contract.</w:t>
      </w:r>
    </w:p>
    <w:p w14:paraId="4705CA90" w14:textId="3833B408" w:rsidR="006F5FFC" w:rsidRPr="000F117C" w:rsidRDefault="00944866" w:rsidP="0030621E">
      <w:pPr>
        <w:spacing w:line="480" w:lineRule="auto"/>
        <w:rPr>
          <w:i/>
          <w:iCs/>
        </w:rPr>
      </w:pPr>
      <w:r>
        <w:rPr>
          <w:i/>
          <w:iCs/>
        </w:rPr>
        <w:lastRenderedPageBreak/>
        <w:t>Jean-Jacques Rousseau</w:t>
      </w:r>
    </w:p>
    <w:p w14:paraId="4748DD77" w14:textId="2A211B3D" w:rsidR="006F5FFC" w:rsidRPr="0049058D" w:rsidRDefault="00927D33" w:rsidP="0030621E">
      <w:pPr>
        <w:spacing w:line="480" w:lineRule="auto"/>
        <w:ind w:firstLine="720"/>
      </w:pPr>
      <w:r>
        <w:t>Jean-</w:t>
      </w:r>
      <w:r w:rsidR="00ED61B8">
        <w:t>Jacques</w:t>
      </w:r>
      <w:r>
        <w:t xml:space="preserve"> Rousseau was </w:t>
      </w:r>
      <w:r w:rsidR="006F5FFC" w:rsidRPr="0049058D">
        <w:t xml:space="preserve">born in 1712 in Geneva, Switzerland. </w:t>
      </w:r>
      <w:r>
        <w:t>Rousseau</w:t>
      </w:r>
      <w:r w:rsidR="006F5FFC" w:rsidRPr="0049058D">
        <w:t xml:space="preserve"> </w:t>
      </w:r>
      <w:r w:rsidR="006D4F82">
        <w:t>rose</w:t>
      </w:r>
      <w:r w:rsidR="006F5FFC" w:rsidRPr="0049058D">
        <w:t xml:space="preserve"> to prominence in </w:t>
      </w:r>
      <w:r w:rsidR="00B73382">
        <w:t>philosophy</w:t>
      </w:r>
      <w:r w:rsidR="006F5FFC" w:rsidRPr="0049058D">
        <w:t xml:space="preserve">, his writings </w:t>
      </w:r>
      <w:r w:rsidR="006D4F82">
        <w:t>spread across a diverse set of topics</w:t>
      </w:r>
      <w:r w:rsidR="006F5FFC" w:rsidRPr="0049058D">
        <w:t xml:space="preserve"> on topics </w:t>
      </w:r>
      <w:r w:rsidR="006D4F82">
        <w:t>like</w:t>
      </w:r>
      <w:r w:rsidR="006F5FFC" w:rsidRPr="0049058D">
        <w:t xml:space="preserve"> education, politics, and morality. </w:t>
      </w:r>
      <w:r>
        <w:t>R</w:t>
      </w:r>
      <w:r w:rsidR="006F5FFC" w:rsidRPr="0049058D">
        <w:t>ousseau</w:t>
      </w:r>
      <w:r w:rsidR="00A65514">
        <w:t xml:space="preserve"> sought </w:t>
      </w:r>
      <w:r w:rsidR="006F5FFC" w:rsidRPr="0049058D">
        <w:t>to probe the depths of human nature and the societal structures that define us</w:t>
      </w:r>
      <w:r w:rsidR="006D4F82">
        <w:t>, believing that this knowledge was critical for living a fulfilled existence.</w:t>
      </w:r>
    </w:p>
    <w:p w14:paraId="5164EB2E" w14:textId="57A4948D" w:rsidR="006F5FFC" w:rsidRPr="008B3BE2" w:rsidRDefault="006F5FFC" w:rsidP="0030621E">
      <w:pPr>
        <w:spacing w:line="480" w:lineRule="auto"/>
        <w:ind w:firstLine="720"/>
      </w:pPr>
      <w:r w:rsidRPr="0049058D">
        <w:t xml:space="preserve">Rousseau's ideas, particularly those concerning </w:t>
      </w:r>
      <w:r w:rsidR="00A65514">
        <w:t>Natural Law</w:t>
      </w:r>
      <w:r w:rsidRPr="0049058D">
        <w:t xml:space="preserve">, stand in stark contrast to the theories of his predecessors Hobbes and Aquinas. While he acknowledged the existence of </w:t>
      </w:r>
      <w:r w:rsidR="00A65514">
        <w:t>Natural Law</w:t>
      </w:r>
      <w:r w:rsidRPr="0049058D">
        <w:t xml:space="preserve">, Rousseau believed that its true essence was distorted by the trappings of civilization and corrupted social institutions. He boldly declared that mankind's natural state was one of </w:t>
      </w:r>
      <w:r w:rsidRPr="008B3BE2">
        <w:t>freedom and innocence, untainted by the complexities of society.</w:t>
      </w:r>
      <w:r w:rsidR="0049058D" w:rsidRPr="008B3BE2">
        <w:t xml:space="preserve"> This is evident when he states that “Every man </w:t>
      </w:r>
      <w:r w:rsidR="008B3BE2" w:rsidRPr="008B3BE2">
        <w:t>is</w:t>
      </w:r>
      <w:r w:rsidR="0049058D" w:rsidRPr="008B3BE2">
        <w:t xml:space="preserve"> born free and </w:t>
      </w:r>
      <w:r w:rsidR="008B3BE2" w:rsidRPr="008B3BE2">
        <w:t>is his own master</w:t>
      </w:r>
      <w:r w:rsidR="0049058D" w:rsidRPr="008B3BE2">
        <w:t xml:space="preserve">, </w:t>
      </w:r>
      <w:r w:rsidR="008B3BE2" w:rsidRPr="008B3BE2">
        <w:t>so no-one on any pretext… can make any man a subject without his consent.”</w:t>
      </w:r>
      <w:r w:rsidR="008B3BE2" w:rsidRPr="008B3BE2">
        <w:rPr>
          <w:rStyle w:val="FootnoteReference"/>
        </w:rPr>
        <w:footnoteReference w:id="20"/>
      </w:r>
    </w:p>
    <w:p w14:paraId="279F3275" w14:textId="59EB5D3F" w:rsidR="006F5FFC" w:rsidRPr="0049058D" w:rsidRDefault="006F5FFC" w:rsidP="0030621E">
      <w:pPr>
        <w:spacing w:line="480" w:lineRule="auto"/>
        <w:ind w:firstLine="720"/>
      </w:pPr>
      <w:r w:rsidRPr="004853A3">
        <w:t xml:space="preserve">In his seminal work, The Social Contract, Rousseau posits </w:t>
      </w:r>
      <w:r w:rsidR="0049058D" w:rsidRPr="004853A3">
        <w:t>“</w:t>
      </w:r>
      <w:r w:rsidR="001F74C5">
        <w:t>M</w:t>
      </w:r>
      <w:r w:rsidR="00F327E9">
        <w:t>an</w:t>
      </w:r>
      <w:r w:rsidR="0049058D" w:rsidRPr="004853A3">
        <w:t xml:space="preserve"> is born free</w:t>
      </w:r>
      <w:r w:rsidR="008B3BE2" w:rsidRPr="004853A3">
        <w:t>,</w:t>
      </w:r>
      <w:r w:rsidR="0049058D" w:rsidRPr="004853A3">
        <w:t xml:space="preserve"> and everywhere he is in chains. </w:t>
      </w:r>
      <w:r w:rsidR="008B3BE2" w:rsidRPr="004853A3">
        <w:t xml:space="preserve">Here’s one who thinks he is the master of </w:t>
      </w:r>
      <w:r w:rsidR="004853A3" w:rsidRPr="004853A3">
        <w:t>others</w:t>
      </w:r>
      <w:r w:rsidR="008B3BE2" w:rsidRPr="004853A3">
        <w:t>, yet he is more enslaved than they are.”</w:t>
      </w:r>
      <w:r w:rsidR="004853A3" w:rsidRPr="004853A3">
        <w:rPr>
          <w:rStyle w:val="FootnoteReference"/>
        </w:rPr>
        <w:footnoteReference w:id="21"/>
      </w:r>
      <w:r w:rsidR="008B3BE2">
        <w:t xml:space="preserve"> </w:t>
      </w:r>
      <w:r w:rsidRPr="0049058D">
        <w:t xml:space="preserve">He suggests that the only way for humanity to reclaim its lost freedom is through a radical transformation of society, guided by the principles of </w:t>
      </w:r>
      <w:r w:rsidR="00A65514">
        <w:t>Natural Law</w:t>
      </w:r>
      <w:r w:rsidRPr="0049058D">
        <w:t>. This transformation would entail the establishment of a social contract, whereby individuals willingly surrender a portion of their freedom in exchange for the protection and stability of a collective body politic.</w:t>
      </w:r>
    </w:p>
    <w:p w14:paraId="215F77D1" w14:textId="74EE4769" w:rsidR="006F5FFC" w:rsidRPr="0049058D" w:rsidRDefault="006F5FFC" w:rsidP="0030621E">
      <w:pPr>
        <w:spacing w:line="480" w:lineRule="auto"/>
        <w:ind w:firstLine="720"/>
      </w:pPr>
      <w:r w:rsidRPr="004853A3">
        <w:lastRenderedPageBreak/>
        <w:t xml:space="preserve">Rousseau's views on </w:t>
      </w:r>
      <w:r w:rsidR="00A65514">
        <w:t>Natural Law</w:t>
      </w:r>
      <w:r w:rsidRPr="004853A3">
        <w:t xml:space="preserve"> are linked to his concept of the "noble savage."</w:t>
      </w:r>
      <w:r w:rsidR="004853A3">
        <w:rPr>
          <w:rStyle w:val="FootnoteReference"/>
        </w:rPr>
        <w:footnoteReference w:id="22"/>
      </w:r>
      <w:r w:rsidRPr="004853A3">
        <w:t xml:space="preserve"> He</w:t>
      </w:r>
      <w:r w:rsidRPr="0049058D">
        <w:t xml:space="preserve"> imagined the noble savage as an individual living in a state of nature, unencumbered by the constraints of society and existing in harmony with the natural world. According to Rousseau, such a person would be guided by an innate sense of morality</w:t>
      </w:r>
      <w:r w:rsidR="0049058D" w:rsidRPr="0049058D">
        <w:t xml:space="preserve">. It is the artificial constraints of civilization which corrupt a person. Rousseau fears the looming nature of </w:t>
      </w:r>
      <w:r w:rsidR="0049058D" w:rsidRPr="004853A3">
        <w:t xml:space="preserve">government since “liberty </w:t>
      </w:r>
      <w:r w:rsidR="004853A3" w:rsidRPr="004853A3">
        <w:t>can</w:t>
      </w:r>
      <w:r w:rsidR="0049058D" w:rsidRPr="004853A3">
        <w:t xml:space="preserve"> be gained, but </w:t>
      </w:r>
      <w:r w:rsidR="004853A3" w:rsidRPr="004853A3">
        <w:t xml:space="preserve">it </w:t>
      </w:r>
      <w:r w:rsidR="0049058D" w:rsidRPr="004853A3">
        <w:t>can never be recovered.”</w:t>
      </w:r>
      <w:r w:rsidR="004853A3" w:rsidRPr="004853A3">
        <w:rPr>
          <w:rStyle w:val="FootnoteReference"/>
        </w:rPr>
        <w:footnoteReference w:id="23"/>
      </w:r>
      <w:r w:rsidRPr="004853A3">
        <w:t xml:space="preserve"> </w:t>
      </w:r>
      <w:r w:rsidR="0049058D" w:rsidRPr="004853A3">
        <w:t>So</w:t>
      </w:r>
      <w:r w:rsidR="0049058D" w:rsidRPr="0049058D">
        <w:t xml:space="preserve">, the notion of the </w:t>
      </w:r>
      <w:r w:rsidR="004853A3">
        <w:t xml:space="preserve">noble savage </w:t>
      </w:r>
      <w:r w:rsidR="0049058D" w:rsidRPr="0049058D">
        <w:t xml:space="preserve">leaves Rousseau theorizing that by living as close to </w:t>
      </w:r>
      <w:r w:rsidR="00A65514">
        <w:t>Natural Law</w:t>
      </w:r>
      <w:r w:rsidR="0049058D" w:rsidRPr="0049058D">
        <w:t xml:space="preserve"> as possible, man can prevent as much liberty from being lost as possible.</w:t>
      </w:r>
    </w:p>
    <w:p w14:paraId="66844113" w14:textId="30DEF7BE" w:rsidR="006F5FFC" w:rsidRPr="0049058D" w:rsidRDefault="006F5FFC" w:rsidP="0030621E">
      <w:pPr>
        <w:spacing w:line="480" w:lineRule="auto"/>
        <w:ind w:firstLine="720"/>
      </w:pPr>
      <w:r w:rsidRPr="0049058D">
        <w:t xml:space="preserve">Yet, Rousseau recognized that the noble savage was an idealized construct and that the complexities of modern society necessitated a different approach to understanding </w:t>
      </w:r>
      <w:r w:rsidR="00A65514">
        <w:t>Natural Law</w:t>
      </w:r>
      <w:r w:rsidRPr="0049058D">
        <w:t xml:space="preserve">. He contended that rather than seeking to return to an irretrievable past, humanity should strive to create a new social order that aligned with the principles of </w:t>
      </w:r>
      <w:r w:rsidR="00A65514">
        <w:t>Natural Law</w:t>
      </w:r>
      <w:r w:rsidRPr="0049058D">
        <w:t>. In this new society, individuals would retain their innate moral compass, yet recognize the need for cooperation and mutual assistance to ensure the well-being of all.</w:t>
      </w:r>
    </w:p>
    <w:p w14:paraId="3EB0691C" w14:textId="19916EB7" w:rsidR="00412440" w:rsidRPr="000F117C" w:rsidRDefault="00944866" w:rsidP="0030621E">
      <w:pPr>
        <w:spacing w:line="480" w:lineRule="auto"/>
        <w:rPr>
          <w:i/>
          <w:iCs/>
        </w:rPr>
      </w:pPr>
      <w:r>
        <w:rPr>
          <w:i/>
          <w:iCs/>
        </w:rPr>
        <w:t>Thomas Hobbes</w:t>
      </w:r>
    </w:p>
    <w:p w14:paraId="0DEE73E8" w14:textId="5CB9CC22" w:rsidR="0065794D" w:rsidRPr="0065794D" w:rsidRDefault="0065794D" w:rsidP="0030621E">
      <w:pPr>
        <w:spacing w:line="480" w:lineRule="auto"/>
        <w:ind w:firstLine="720"/>
      </w:pPr>
      <w:r w:rsidRPr="0065794D">
        <w:t>In the tempestuous realm of human nature, passions hold sway, and when left to their own devices, Hobbes postulated that mankind would descend into a bellum omnium contra omnes, a war of all against all.</w:t>
      </w:r>
      <w:r w:rsidR="00B86F66">
        <w:rPr>
          <w:rStyle w:val="FootnoteReference"/>
        </w:rPr>
        <w:footnoteReference w:id="24"/>
      </w:r>
      <w:r w:rsidRPr="0065794D">
        <w:t xml:space="preserve"> Such a </w:t>
      </w:r>
      <w:r w:rsidR="00B86F66" w:rsidRPr="0065794D">
        <w:t>situation</w:t>
      </w:r>
      <w:r w:rsidRPr="0065794D">
        <w:t xml:space="preserve"> would be marked by "continuall feare, and danger of violent death," rendering the lives of individuals "solitary, poore, nasty, brutish, and </w:t>
      </w:r>
      <w:r w:rsidRPr="0065794D">
        <w:lastRenderedPageBreak/>
        <w:t>short."</w:t>
      </w:r>
      <w:r w:rsidR="00B86F66">
        <w:rPr>
          <w:rStyle w:val="FootnoteReference"/>
        </w:rPr>
        <w:footnoteReference w:id="25"/>
      </w:r>
      <w:r w:rsidRPr="0065794D">
        <w:t xml:space="preserve"> Yet amidst this chaos, a beacon of reason emerges in the form of </w:t>
      </w:r>
      <w:r w:rsidR="00A65514">
        <w:t>Natural Law</w:t>
      </w:r>
      <w:r w:rsidRPr="0065794D">
        <w:t>, guiding humanity towards peace and the embrace of social order.</w:t>
      </w:r>
    </w:p>
    <w:p w14:paraId="0FE14940" w14:textId="4938B181" w:rsidR="0065794D" w:rsidRPr="0049058D" w:rsidRDefault="0065794D" w:rsidP="0030621E">
      <w:pPr>
        <w:spacing w:line="480" w:lineRule="auto"/>
        <w:ind w:firstLine="720"/>
      </w:pPr>
      <w:r w:rsidRPr="0065794D">
        <w:t xml:space="preserve">According to Hobbes, </w:t>
      </w:r>
      <w:r w:rsidR="00A65514">
        <w:t>Natural Law</w:t>
      </w:r>
      <w:r w:rsidRPr="0065794D">
        <w:t xml:space="preserve"> encompasses nineteen distinct principles, meticulously delineated in chapters XIV and XV of his seminal work, Leviathan. Foremost among these laws is the exhortation that every individual should seek peace, resorting to the mechanisms of war only when peace proves elusive. This precept and the others that follow serve to invert the Golden Rule, transforming it into "Do not that to another, which thou wouldest not have done to </w:t>
      </w:r>
      <w:r w:rsidRPr="0049058D">
        <w:t>thy</w:t>
      </w:r>
      <w:r w:rsidR="00B86F66" w:rsidRPr="0049058D">
        <w:t xml:space="preserve"> </w:t>
      </w:r>
      <w:r w:rsidRPr="0049058D">
        <w:t>self</w:t>
      </w:r>
      <w:r w:rsidR="00B86F66" w:rsidRPr="0049058D">
        <w:t>e</w:t>
      </w:r>
      <w:r w:rsidRPr="0049058D">
        <w:t>."</w:t>
      </w:r>
      <w:r w:rsidR="00B86F66" w:rsidRPr="0049058D">
        <w:rPr>
          <w:rStyle w:val="FootnoteReference"/>
        </w:rPr>
        <w:footnoteReference w:id="26"/>
      </w:r>
    </w:p>
    <w:p w14:paraId="50C3D80B" w14:textId="2615A075" w:rsidR="0065794D" w:rsidRPr="0049058D" w:rsidRDefault="0065794D" w:rsidP="0030621E">
      <w:pPr>
        <w:spacing w:line="480" w:lineRule="auto"/>
        <w:ind w:firstLine="720"/>
      </w:pPr>
      <w:r w:rsidRPr="0049058D">
        <w:t xml:space="preserve">Through this inversion and the other tenets of </w:t>
      </w:r>
      <w:r w:rsidR="00A65514">
        <w:t>Natural Law</w:t>
      </w:r>
      <w:r w:rsidRPr="0049058D">
        <w:t>, Hobbes sought to outline the rational behavior of individuals striving to thrive in a world beset by strife. But to achieve the tranquility promised by these laws, Hobbes believed that men must submit to the authority of a sovereign, whose dictates would become the source of law in society.</w:t>
      </w:r>
    </w:p>
    <w:p w14:paraId="0443F5E4" w14:textId="342C4E44" w:rsidR="0065794D" w:rsidRPr="0049058D" w:rsidRDefault="0065794D" w:rsidP="0030621E">
      <w:pPr>
        <w:spacing w:line="480" w:lineRule="auto"/>
        <w:ind w:firstLine="720"/>
      </w:pPr>
      <w:r w:rsidRPr="0049058D">
        <w:t xml:space="preserve">Hobbes' contractarian theory is a subject of great fascination, as it appears to grant colonists the right to wage war against Britain in pursuit of their own sovereign. Yet, his theory also demands that once a sovereign is established, men must submit their will to its authority, for it is from the sovereign that the law is derived. Undoubtedly, colonists would have grappled with this aspect of Hobbes' philosophy, for while </w:t>
      </w:r>
      <w:r w:rsidR="00A65514">
        <w:t>Natural Law</w:t>
      </w:r>
      <w:r w:rsidRPr="0049058D">
        <w:t xml:space="preserve"> may be subservient to the sovereign, it is the sovereign who ensures the peace and stability that these laws are designed to promote.</w:t>
      </w:r>
    </w:p>
    <w:p w14:paraId="5BE2862E" w14:textId="315CDE4F" w:rsidR="000F117C" w:rsidRPr="000F117C" w:rsidRDefault="0065794D" w:rsidP="0030621E">
      <w:pPr>
        <w:spacing w:line="480" w:lineRule="auto"/>
      </w:pPr>
      <w:r w:rsidRPr="0049058D">
        <w:tab/>
        <w:t>In the perspective of revolutionary America and the Founding Fathers however, Hobbes</w:t>
      </w:r>
      <w:r>
        <w:t xml:space="preserve"> appears to be purposefully overlooked. </w:t>
      </w:r>
      <w:r w:rsidRPr="0065794D">
        <w:rPr>
          <w:i/>
          <w:iCs/>
        </w:rPr>
        <w:t>Leviathan</w:t>
      </w:r>
      <w:r>
        <w:t xml:space="preserve"> is an often-referenced work when analyzing </w:t>
      </w:r>
      <w:r w:rsidR="00A65514">
        <w:t>Natural Law</w:t>
      </w:r>
      <w:r>
        <w:t xml:space="preserve"> Theory in political science course</w:t>
      </w:r>
      <w:r w:rsidR="00A803B4">
        <w:t>s</w:t>
      </w:r>
      <w:r>
        <w:t xml:space="preserve">, and much of what John Locke writes is in partial refutation of </w:t>
      </w:r>
      <w:r w:rsidR="00AE15E3">
        <w:t>Hobbes’</w:t>
      </w:r>
      <w:r>
        <w:t xml:space="preserve"> views. So, the </w:t>
      </w:r>
      <w:r w:rsidR="00AE15E3">
        <w:t>absence</w:t>
      </w:r>
      <w:r>
        <w:t xml:space="preserve"> of references to him, something the other </w:t>
      </w:r>
      <w:r>
        <w:lastRenderedPageBreak/>
        <w:t>philosophers do not experience</w:t>
      </w:r>
      <w:r w:rsidR="00ED61B8">
        <w:t>,</w:t>
      </w:r>
      <w:r>
        <w:t xml:space="preserve"> </w:t>
      </w:r>
      <w:r w:rsidR="00ED61B8">
        <w:t>seems</w:t>
      </w:r>
      <w:r>
        <w:t xml:space="preserve"> intentional. Hobbes’ theory of the necessity of subservience to the sovereign, is most likely the </w:t>
      </w:r>
      <w:r w:rsidR="000C257B">
        <w:t>reason</w:t>
      </w:r>
      <w:r>
        <w:t xml:space="preserve"> he is left out of the founder’s writings.</w:t>
      </w:r>
      <w:r w:rsidR="00AE15E3">
        <w:t xml:space="preserve"> </w:t>
      </w:r>
      <w:r w:rsidR="00A803B4">
        <w:t>Rebellion against a</w:t>
      </w:r>
      <w:r>
        <w:t xml:space="preserve"> sovereign is w</w:t>
      </w:r>
      <w:r w:rsidR="00A803B4">
        <w:t>hat the Founders advocated.</w:t>
      </w:r>
      <w:r>
        <w:t xml:space="preserve"> In the Declaration of Independence, they cited 27 grievances against King George III.</w:t>
      </w:r>
      <w:r w:rsidR="00AE15E3">
        <w:t xml:space="preserve"> Unless one considers the 13</w:t>
      </w:r>
      <w:r w:rsidR="00AE15E3" w:rsidRPr="00AE15E3">
        <w:rPr>
          <w:vertAlign w:val="superscript"/>
        </w:rPr>
        <w:t>th</w:t>
      </w:r>
      <w:r w:rsidR="00AE15E3">
        <w:t xml:space="preserve"> grievance (which begins, “He has combined with others…”) and its nine subdivisions beginning with “For…” to be one grievance making a total of 18 rather than 27 in the Declaration.</w:t>
      </w:r>
      <w:r w:rsidR="00AE15E3">
        <w:rPr>
          <w:rStyle w:val="FootnoteReference"/>
        </w:rPr>
        <w:footnoteReference w:id="27"/>
      </w:r>
    </w:p>
    <w:p w14:paraId="74F0D9BE" w14:textId="13ADAD2F" w:rsidR="007F7244" w:rsidRPr="000F117C" w:rsidRDefault="00944866" w:rsidP="0030621E">
      <w:pPr>
        <w:spacing w:line="480" w:lineRule="auto"/>
        <w:rPr>
          <w:i/>
          <w:iCs/>
        </w:rPr>
      </w:pPr>
      <w:r>
        <w:rPr>
          <w:i/>
          <w:iCs/>
        </w:rPr>
        <w:t xml:space="preserve">Adam’s </w:t>
      </w:r>
      <w:r w:rsidR="00A803B4">
        <w:rPr>
          <w:i/>
          <w:iCs/>
        </w:rPr>
        <w:t>and the Alien and Sedition Acts</w:t>
      </w:r>
    </w:p>
    <w:p w14:paraId="50D60FF0" w14:textId="58649DC8" w:rsidR="002C143E" w:rsidRPr="00EA77C4" w:rsidRDefault="005C3FB2" w:rsidP="0030621E">
      <w:pPr>
        <w:spacing w:line="480" w:lineRule="auto"/>
      </w:pPr>
      <w:r>
        <w:tab/>
        <w:t xml:space="preserve">Adams’ </w:t>
      </w:r>
      <w:r w:rsidR="00A803B4">
        <w:t xml:space="preserve">enacted </w:t>
      </w:r>
      <w:r>
        <w:t>four laws in 1798</w:t>
      </w:r>
      <w:r w:rsidR="00A803B4">
        <w:t xml:space="preserve"> separately </w:t>
      </w:r>
      <w:r w:rsidR="00A803B4" w:rsidRPr="00EA77C4">
        <w:t xml:space="preserve">known as the Aliens Friends Act, Alien Enemies Act, Naturalization Act, and </w:t>
      </w:r>
      <w:r w:rsidR="00A803B4">
        <w:t xml:space="preserve">the </w:t>
      </w:r>
      <w:r w:rsidR="00A803B4" w:rsidRPr="00EA77C4">
        <w:t>Sedition Act</w:t>
      </w:r>
      <w:r w:rsidR="00A803B4">
        <w:t xml:space="preserve">. They </w:t>
      </w:r>
      <w:r w:rsidR="00A803B4" w:rsidRPr="00EA77C4">
        <w:t>were eventually grouped together and called the Alien and Sedition Acts.</w:t>
      </w:r>
      <w:r w:rsidR="00A803B4">
        <w:t xml:space="preserve"> </w:t>
      </w:r>
      <w:r>
        <w:t xml:space="preserve">Each of these </w:t>
      </w:r>
      <w:r w:rsidR="00A803B4">
        <w:t>A</w:t>
      </w:r>
      <w:r>
        <w:t xml:space="preserve">cts </w:t>
      </w:r>
      <w:r w:rsidR="002C143E">
        <w:t>created</w:t>
      </w:r>
      <w:r>
        <w:t xml:space="preserve"> various restrictions to immigration and speech in the United States. </w:t>
      </w:r>
    </w:p>
    <w:p w14:paraId="50296BAB" w14:textId="4F3C67A8" w:rsidR="005C3FB2" w:rsidRPr="00EA77C4" w:rsidRDefault="002C143E" w:rsidP="0030621E">
      <w:pPr>
        <w:spacing w:line="480" w:lineRule="auto"/>
      </w:pPr>
      <w:r w:rsidRPr="00EA77C4">
        <w:tab/>
        <w:t xml:space="preserve">The Alien Enemies Act, or officially </w:t>
      </w:r>
      <w:r w:rsidRPr="00EA77C4">
        <w:rPr>
          <w:i/>
          <w:iCs/>
        </w:rPr>
        <w:t>An Act Respecting Alien Enemies</w:t>
      </w:r>
      <w:r w:rsidRPr="00EA77C4">
        <w:t xml:space="preserve">, granted the government powers to control non-citizens during times of war. This </w:t>
      </w:r>
      <w:r w:rsidR="00A803B4">
        <w:t xml:space="preserve">Act </w:t>
      </w:r>
      <w:r w:rsidRPr="00EA77C4">
        <w:t>allow</w:t>
      </w:r>
      <w:r w:rsidR="00A803B4">
        <w:t xml:space="preserve">ed </w:t>
      </w:r>
      <w:r w:rsidRPr="00EA77C4">
        <w:t>the President to do things such as arrest, relocate, or deport alien males in the United States. Specifically, “the President of the United States shall make public proclamation…all natives, denizens, or subjects of the hostile nation…being males of the age of fourteen years and upwards… and not actually naturalized, shall be liable to be apprehended.”</w:t>
      </w:r>
      <w:r w:rsidR="004853A3" w:rsidRPr="00EA77C4">
        <w:rPr>
          <w:rStyle w:val="FootnoteReference"/>
        </w:rPr>
        <w:footnoteReference w:id="28"/>
      </w:r>
    </w:p>
    <w:p w14:paraId="5AA27B17" w14:textId="77777777" w:rsidR="000A2C3F" w:rsidRDefault="002C143E" w:rsidP="0030621E">
      <w:pPr>
        <w:spacing w:line="480" w:lineRule="auto"/>
      </w:pPr>
      <w:r w:rsidRPr="00EA77C4">
        <w:tab/>
      </w:r>
      <w:r w:rsidR="00A803B4">
        <w:t>D</w:t>
      </w:r>
      <w:r w:rsidRPr="00EA77C4">
        <w:t xml:space="preserve">etaining an individual </w:t>
      </w:r>
      <w:r w:rsidR="00981EBA" w:rsidRPr="00EA77C4">
        <w:t>strips them of their freedom, especially when they have not consented to the passing of this law and had no say in its</w:t>
      </w:r>
      <w:r w:rsidR="00981EBA">
        <w:t xml:space="preserve"> usage since they are of a non-citizen status. And when analyzing this in the view of Rousseau, it is understandable to come to such a </w:t>
      </w:r>
      <w:r w:rsidR="00981EBA">
        <w:lastRenderedPageBreak/>
        <w:t>conclusion. He believe</w:t>
      </w:r>
      <w:r w:rsidR="00A803B4">
        <w:t>d</w:t>
      </w:r>
      <w:r w:rsidR="00981EBA">
        <w:t xml:space="preserve"> that the social contract should be one of cooperation. He is not an advocate for war since war tends to lead to further government involvement which further pulls man away from the life of the “noble savage” being constrained by the laws placed upon him by governmental action with the end result making </w:t>
      </w:r>
      <w:proofErr w:type="gramStart"/>
      <w:r w:rsidR="00981EBA">
        <w:t>it</w:t>
      </w:r>
      <w:proofErr w:type="gramEnd"/>
      <w:r w:rsidR="00981EBA">
        <w:t xml:space="preserve"> so liberty is lost, never to be recovered. </w:t>
      </w:r>
    </w:p>
    <w:p w14:paraId="42463206" w14:textId="78B02459" w:rsidR="00981EBA" w:rsidRDefault="00981EBA" w:rsidP="000A2C3F">
      <w:pPr>
        <w:spacing w:line="480" w:lineRule="auto"/>
        <w:ind w:firstLine="720"/>
      </w:pPr>
      <w:r>
        <w:t>Aquinas may have approached such a situation differently.</w:t>
      </w:r>
      <w:r w:rsidR="000A2C3F">
        <w:t xml:space="preserve"> </w:t>
      </w:r>
      <w:r w:rsidR="00235D08">
        <w:t>R</w:t>
      </w:r>
      <w:r>
        <w:t xml:space="preserve">eason is a necessary component to defining </w:t>
      </w:r>
      <w:r w:rsidR="00A65514">
        <w:t>Natural Law</w:t>
      </w:r>
      <w:r w:rsidR="00235D08">
        <w:t>, i</w:t>
      </w:r>
      <w:r>
        <w:t>n so much that it is reason, the ability to differentiate and perform moral good while avoiding evil</w:t>
      </w:r>
      <w:r w:rsidR="00CC2211">
        <w:t xml:space="preserve">, which guides </w:t>
      </w:r>
      <w:r w:rsidR="00A65514">
        <w:t>Natural Law</w:t>
      </w:r>
      <w:r w:rsidR="00CC2211">
        <w:t xml:space="preserve">. There is a moral component that would coincide with the cardinal virtues, which is necessary to forward </w:t>
      </w:r>
      <w:r w:rsidR="00A65514">
        <w:t>Natural Law</w:t>
      </w:r>
      <w:r w:rsidR="00CC2211">
        <w:t xml:space="preserve">. So, does this </w:t>
      </w:r>
      <w:r w:rsidR="00235D08">
        <w:t>A</w:t>
      </w:r>
      <w:r w:rsidR="00CC2211">
        <w:t xml:space="preserve">ct show prudence, justice, temperance, fortitude, and faith? </w:t>
      </w:r>
    </w:p>
    <w:p w14:paraId="2E62027C" w14:textId="72BDB1CC" w:rsidR="002C143E" w:rsidRDefault="00CC2211" w:rsidP="0030621E">
      <w:pPr>
        <w:spacing w:line="480" w:lineRule="auto"/>
      </w:pPr>
      <w:r>
        <w:tab/>
        <w:t>Prudence is the ability to govern</w:t>
      </w:r>
      <w:r w:rsidR="00ED61B8">
        <w:t xml:space="preserve"> and</w:t>
      </w:r>
      <w:r>
        <w:t xml:space="preserve"> discipline oneself. </w:t>
      </w:r>
      <w:r w:rsidR="00CE7F3A">
        <w:t xml:space="preserve">This </w:t>
      </w:r>
      <w:r w:rsidR="00235D08">
        <w:t>A</w:t>
      </w:r>
      <w:r w:rsidR="00CE7F3A">
        <w:t>ct</w:t>
      </w:r>
      <w:r>
        <w:t xml:space="preserve"> is specifically </w:t>
      </w:r>
      <w:r w:rsidR="00ED61B8">
        <w:t xml:space="preserve">aimed at governing </w:t>
      </w:r>
      <w:r>
        <w:t>enemy peoples</w:t>
      </w:r>
      <w:r w:rsidR="00235D08">
        <w:t xml:space="preserve">, </w:t>
      </w:r>
      <w:r>
        <w:t xml:space="preserve">not </w:t>
      </w:r>
      <w:r w:rsidR="00235D08">
        <w:t>citizens of</w:t>
      </w:r>
      <w:r>
        <w:t xml:space="preserve"> the Unites States itself. So, it </w:t>
      </w:r>
      <w:r w:rsidR="00CE7F3A">
        <w:t>stands</w:t>
      </w:r>
      <w:r>
        <w:t xml:space="preserve"> to reason that this was not a prudent </w:t>
      </w:r>
      <w:r w:rsidR="00235D08">
        <w:t>law</w:t>
      </w:r>
      <w:r>
        <w:t>. Does it forward justice? It promotes the ideals of life and preserving life. Th</w:t>
      </w:r>
      <w:r w:rsidR="003C2605">
        <w:t>is</w:t>
      </w:r>
      <w:r>
        <w:t xml:space="preserve"> </w:t>
      </w:r>
      <w:r w:rsidR="00235D08">
        <w:t>A</w:t>
      </w:r>
      <w:r>
        <w:t>ct merely grants the ability to detain individuals whose nation is at war with the United States. It is not executing them, forcing them into slave labor, nor applying itself to groups which would not be relevant in war during that era. Women and children did not go to war. And th</w:t>
      </w:r>
      <w:r w:rsidR="00235D08">
        <w:t>e</w:t>
      </w:r>
      <w:r>
        <w:t xml:space="preserve"> </w:t>
      </w:r>
      <w:r w:rsidR="00235D08">
        <w:t>A</w:t>
      </w:r>
      <w:r>
        <w:t>ct addresses that fact by only applying itself to males 14 years and older. It demonstrates temperance as well since th</w:t>
      </w:r>
      <w:r w:rsidR="003C2605">
        <w:t xml:space="preserve">is </w:t>
      </w:r>
      <w:r>
        <w:t xml:space="preserve">Act has only been applied a few times in United States history. It was </w:t>
      </w:r>
      <w:r w:rsidR="00235D08">
        <w:t>us</w:t>
      </w:r>
      <w:r>
        <w:t xml:space="preserve">ed </w:t>
      </w:r>
      <w:r w:rsidR="00235D08">
        <w:t>i</w:t>
      </w:r>
      <w:r w:rsidR="00CE7F3A">
        <w:t>n the War of 1812</w:t>
      </w:r>
      <w:r w:rsidR="00235D08">
        <w:t>,</w:t>
      </w:r>
      <w:r w:rsidR="00CE7F3A">
        <w:t xml:space="preserve"> by President Wilson in WWI</w:t>
      </w:r>
      <w:r w:rsidR="00235D08">
        <w:t xml:space="preserve">, and </w:t>
      </w:r>
      <w:r w:rsidR="00CE7F3A">
        <w:t>FDR in WWII. But it is important to note that th</w:t>
      </w:r>
      <w:r w:rsidR="003C2605">
        <w:t xml:space="preserve">is </w:t>
      </w:r>
      <w:r w:rsidR="00235D08">
        <w:t>A</w:t>
      </w:r>
      <w:r w:rsidR="00CE7F3A">
        <w:t>ct has been revised and it is a revised version which has been most employed</w:t>
      </w:r>
      <w:r w:rsidR="003C2605">
        <w:t>,</w:t>
      </w:r>
      <w:r w:rsidR="00CE7F3A">
        <w:t xml:space="preserve"> demonstrating a large amount of temperance by Congress and the United States. It shows fortitude by attempting to protect and defend the populace of the nation against those who </w:t>
      </w:r>
      <w:r w:rsidR="00CE7F3A" w:rsidRPr="002E2F06">
        <w:t xml:space="preserve">they are at declared war with. And it shows </w:t>
      </w:r>
      <w:r w:rsidR="003C2605">
        <w:t xml:space="preserve">fairness </w:t>
      </w:r>
      <w:r w:rsidR="00CE7F3A" w:rsidRPr="002E2F06">
        <w:t xml:space="preserve">in </w:t>
      </w:r>
      <w:r w:rsidR="003C2605">
        <w:t xml:space="preserve">that </w:t>
      </w:r>
      <w:r w:rsidR="00CE7F3A" w:rsidRPr="002E2F06">
        <w:t xml:space="preserve">those that are being detained </w:t>
      </w:r>
      <w:r w:rsidR="003C2605">
        <w:t xml:space="preserve">are allowed access to our legal system </w:t>
      </w:r>
      <w:r w:rsidR="00CE7F3A" w:rsidRPr="002E2F06">
        <w:t xml:space="preserve">since it allows “All Courts of criminal jurisdiction- and also </w:t>
      </w:r>
      <w:r w:rsidR="00CE7F3A" w:rsidRPr="002E2F06">
        <w:lastRenderedPageBreak/>
        <w:t>the judges of the courts of the U. States may receive and hear complaints against alien enemies, and make an order thereon.”</w:t>
      </w:r>
      <w:r w:rsidR="002E2F06" w:rsidRPr="002E2F06">
        <w:rPr>
          <w:rStyle w:val="FootnoteReference"/>
        </w:rPr>
        <w:footnoteReference w:id="29"/>
      </w:r>
      <w:r w:rsidR="00CE7F3A" w:rsidRPr="002E2F06">
        <w:t xml:space="preserve"> Meaning</w:t>
      </w:r>
      <w:r w:rsidR="00CE7F3A">
        <w:t xml:space="preserve"> the court system can be employed to help recognize the validity of individuals whose home nation may be a declared enemy but they themselves are not. So, with most of these virtues occurring despite what some may consider an act that strips freedom, it falls within the bounds of Natural Law that Aquinas believed in.</w:t>
      </w:r>
    </w:p>
    <w:p w14:paraId="57D6CDCD" w14:textId="4691D4FF" w:rsidR="00CE7F3A" w:rsidRPr="00EA77C4" w:rsidRDefault="00CE7F3A" w:rsidP="0030621E">
      <w:pPr>
        <w:spacing w:line="480" w:lineRule="auto"/>
      </w:pPr>
      <w:r>
        <w:tab/>
        <w:t xml:space="preserve">The next of these acts is </w:t>
      </w:r>
      <w:r w:rsidR="00D46306">
        <w:t>the Naturalization</w:t>
      </w:r>
      <w:r>
        <w:t xml:space="preserve"> Act of 1798. </w:t>
      </w:r>
      <w:r w:rsidR="003C2605">
        <w:t xml:space="preserve">This </w:t>
      </w:r>
      <w:r w:rsidR="00AD590C">
        <w:t xml:space="preserve">is an act or bill concerning a path towards citizenship for </w:t>
      </w:r>
      <w:r w:rsidR="003C2605">
        <w:t>aliens</w:t>
      </w:r>
      <w:r w:rsidR="00AD590C">
        <w:t xml:space="preserve">. Because of a </w:t>
      </w:r>
      <w:r w:rsidR="002E2F06">
        <w:t xml:space="preserve">Rousseau-style </w:t>
      </w:r>
      <w:r w:rsidR="00AD590C">
        <w:t xml:space="preserve">belief in cooperation versus competition, the United States has always had </w:t>
      </w:r>
      <w:r w:rsidR="00AD590C" w:rsidRPr="00EA77C4">
        <w:t>policies in place to grant a path towards such citizenship. One of the most controversial versions of this was the Naturalization Act of 1798.</w:t>
      </w:r>
    </w:p>
    <w:p w14:paraId="14D6056B" w14:textId="40926BA0" w:rsidR="00AD590C" w:rsidRDefault="00AD590C" w:rsidP="0030621E">
      <w:pPr>
        <w:spacing w:line="480" w:lineRule="auto"/>
      </w:pPr>
      <w:r w:rsidRPr="00EA77C4">
        <w:tab/>
      </w:r>
      <w:r w:rsidR="003C2605">
        <w:t>This Act</w:t>
      </w:r>
      <w:r w:rsidRPr="00EA77C4">
        <w:t xml:space="preserve"> was controversial because it increased the notice time from three to five years. This notice was a declaration of intention. So, when one applied to be a citizen, they would have to wait now five years upon declaring before formal naturalized citizenship is granted.</w:t>
      </w:r>
      <w:r w:rsidR="00EA77C4" w:rsidRPr="00EA77C4">
        <w:rPr>
          <w:rStyle w:val="FootnoteReference"/>
        </w:rPr>
        <w:footnoteReference w:id="30"/>
      </w:r>
      <w:r>
        <w:t xml:space="preserve"> It would also include a declaration to renounce all other citizenry and obey the law of the land </w:t>
      </w:r>
      <w:r w:rsidR="00EA77C4">
        <w:t>i.e.,</w:t>
      </w:r>
      <w:r>
        <w:t xml:space="preserve"> the Constitution of the United States.</w:t>
      </w:r>
    </w:p>
    <w:p w14:paraId="2ABB7831" w14:textId="009F5B87" w:rsidR="00AD590C" w:rsidRDefault="00AD590C" w:rsidP="0030621E">
      <w:pPr>
        <w:spacing w:line="480" w:lineRule="auto"/>
      </w:pPr>
      <w:r>
        <w:tab/>
        <w:t xml:space="preserve">It also changed the residency period requirements </w:t>
      </w:r>
      <w:r w:rsidRPr="00EA77C4">
        <w:t>from 5 years to 14 years.</w:t>
      </w:r>
      <w:r w:rsidR="00EA77C4">
        <w:rPr>
          <w:rStyle w:val="FootnoteReference"/>
        </w:rPr>
        <w:footnoteReference w:id="31"/>
      </w:r>
      <w:r w:rsidRPr="00EA77C4">
        <w:t xml:space="preserve"> This</w:t>
      </w:r>
      <w:r>
        <w:t xml:space="preserve"> meant that a desiring applicant would have to have lived in the United States for 14 years prior to applying for </w:t>
      </w:r>
      <w:r w:rsidR="00D46306">
        <w:t>n</w:t>
      </w:r>
      <w:r>
        <w:t>aturalization</w:t>
      </w:r>
      <w:r w:rsidR="00D46306">
        <w:t>. And at a time when life expectancy was not even 60 years old, it meant that 25% of an individual</w:t>
      </w:r>
      <w:r w:rsidR="003C2605">
        <w:t>’</w:t>
      </w:r>
      <w:r w:rsidR="00D46306">
        <w:t>s life would have to be spent in the U.S. before even consideration for citizenship.</w:t>
      </w:r>
    </w:p>
    <w:p w14:paraId="5F8755BF" w14:textId="5ABFC3AF" w:rsidR="002C143E" w:rsidRDefault="00D46306" w:rsidP="0030621E">
      <w:pPr>
        <w:spacing w:line="480" w:lineRule="auto"/>
      </w:pPr>
      <w:r>
        <w:lastRenderedPageBreak/>
        <w:tab/>
        <w:t xml:space="preserve">This </w:t>
      </w:r>
      <w:r w:rsidR="003C2605">
        <w:t>A</w:t>
      </w:r>
      <w:r>
        <w:t>ct was passed under the guise of protecting national security. And it may have achieved so if followed to its logical conclusion since it discourage</w:t>
      </w:r>
      <w:r w:rsidR="005F58DD">
        <w:t>d</w:t>
      </w:r>
      <w:r>
        <w:t xml:space="preserve"> immigration and create</w:t>
      </w:r>
      <w:r w:rsidR="005F58DD">
        <w:t>d</w:t>
      </w:r>
      <w:r>
        <w:t xml:space="preserve"> an </w:t>
      </w:r>
      <w:r w:rsidR="000A2C3F">
        <w:t>“</w:t>
      </w:r>
      <w:r>
        <w:t>othering</w:t>
      </w:r>
      <w:r w:rsidR="000A2C3F">
        <w:t>”</w:t>
      </w:r>
      <w:r>
        <w:t xml:space="preserve"> mentality making individuals wary of those not like them. But the sentiment of the public was that this bill was extreme. And so within only a few years, another law concerning </w:t>
      </w:r>
      <w:r w:rsidRPr="00EA77C4">
        <w:t>naturalization was passed, peeling back some of the heavy-handed constraints in the earlier one</w:t>
      </w:r>
      <w:r w:rsidR="001B072B" w:rsidRPr="00EA77C4">
        <w:t xml:space="preserve"> like reducing the </w:t>
      </w:r>
      <w:r w:rsidR="00ED61B8" w:rsidRPr="00EA77C4">
        <w:t>14-year</w:t>
      </w:r>
      <w:r w:rsidR="001B072B" w:rsidRPr="00EA77C4">
        <w:t xml:space="preserve"> residency requirement back to 5.</w:t>
      </w:r>
      <w:r w:rsidR="00EA77C4" w:rsidRPr="00EA77C4">
        <w:rPr>
          <w:rStyle w:val="FootnoteReference"/>
        </w:rPr>
        <w:footnoteReference w:id="32"/>
      </w:r>
      <w:r w:rsidR="001B072B" w:rsidRPr="00EA77C4">
        <w:t xml:space="preserve"> This new one was the Naturalization Law of 1802.</w:t>
      </w:r>
    </w:p>
    <w:p w14:paraId="307451A0" w14:textId="6044817B" w:rsidR="00D46306" w:rsidRDefault="00D46306" w:rsidP="0030621E">
      <w:pPr>
        <w:spacing w:line="480" w:lineRule="auto"/>
      </w:pPr>
      <w:r>
        <w:tab/>
        <w:t xml:space="preserve">Obviously, this was not an </w:t>
      </w:r>
      <w:r w:rsidR="000A2C3F">
        <w:t>A</w:t>
      </w:r>
      <w:r>
        <w:t xml:space="preserve">ct that followed </w:t>
      </w:r>
      <w:r w:rsidRPr="00EA77C4">
        <w:t xml:space="preserve">Natural Law. </w:t>
      </w:r>
      <w:r w:rsidR="001B072B" w:rsidRPr="00EA77C4">
        <w:t>Humanity relinquishes the freedom from any superior power on earth to be governed “under no other legislative power, but that established by consent”</w:t>
      </w:r>
      <w:r w:rsidR="001B072B">
        <w:t xml:space="preserve"> according to Locke.</w:t>
      </w:r>
      <w:r w:rsidR="00EA77C4">
        <w:rPr>
          <w:rStyle w:val="FootnoteReference"/>
        </w:rPr>
        <w:footnoteReference w:id="33"/>
      </w:r>
      <w:r w:rsidR="001B072B">
        <w:t xml:space="preserve"> Rousseau would agree. However, this </w:t>
      </w:r>
      <w:r w:rsidR="005F58DD">
        <w:t>A</w:t>
      </w:r>
      <w:r w:rsidR="001B072B">
        <w:t>ct clearly would prevent individuals from living most of their life from their natural right to consent</w:t>
      </w:r>
      <w:r w:rsidR="005F58DD">
        <w:t>, f</w:t>
      </w:r>
      <w:r w:rsidR="001B072B">
        <w:t xml:space="preserve">orced to obey the law of the land with no say as to what </w:t>
      </w:r>
      <w:r w:rsidR="000A2C3F">
        <w:t>the law of the land is</w:t>
      </w:r>
      <w:r w:rsidR="001B072B">
        <w:t xml:space="preserve">. Hobbes </w:t>
      </w:r>
      <w:r w:rsidR="008B59DC">
        <w:t>might even</w:t>
      </w:r>
      <w:r w:rsidR="001B072B">
        <w:t xml:space="preserve"> agree with </w:t>
      </w:r>
      <w:r w:rsidR="00E761C2">
        <w:t>other</w:t>
      </w:r>
      <w:r w:rsidR="001B072B">
        <w:t xml:space="preserve"> philosophers. </w:t>
      </w:r>
      <w:r w:rsidR="000A2C3F">
        <w:t xml:space="preserve">If Adam’s had applied Hobb’s </w:t>
      </w:r>
      <w:r w:rsidR="001B072B">
        <w:t>inversion of the Golden Rule</w:t>
      </w:r>
      <w:r w:rsidR="000A2C3F">
        <w:t>,</w:t>
      </w:r>
      <w:r w:rsidR="001B072B">
        <w:t xml:space="preserve"> would Adams’ had done this to himself? Would he have put in roadblocks from finding citizenship under a different authority? Clearly from his desire to break away from England and create a new nation, being a fierce advocate for independence prior to the signing of the Declaration of Independence, Adams’ would never be okay with stripping away the ability to free oneself from </w:t>
      </w:r>
      <w:r w:rsidR="005F58DD">
        <w:t xml:space="preserve">the old regime </w:t>
      </w:r>
      <w:r w:rsidR="001B072B">
        <w:t>and naturalize to a new one.</w:t>
      </w:r>
    </w:p>
    <w:p w14:paraId="7827B44E" w14:textId="099FF08C" w:rsidR="002C143E" w:rsidRPr="00B61BE5" w:rsidRDefault="0022435E" w:rsidP="0030621E">
      <w:pPr>
        <w:spacing w:line="480" w:lineRule="auto"/>
      </w:pPr>
      <w:r>
        <w:tab/>
        <w:t xml:space="preserve">The </w:t>
      </w:r>
      <w:r w:rsidR="000A2C3F">
        <w:t>Act t</w:t>
      </w:r>
      <w:r>
        <w:t>h</w:t>
      </w:r>
      <w:r w:rsidR="000A2C3F">
        <w:t>at</w:t>
      </w:r>
      <w:r>
        <w:t xml:space="preserve"> created the most </w:t>
      </w:r>
      <w:r w:rsidR="000A2C3F">
        <w:t>controversy</w:t>
      </w:r>
      <w:r>
        <w:t xml:space="preserve"> was the Sedition Act. This </w:t>
      </w:r>
      <w:r w:rsidR="000A2C3F">
        <w:t>A</w:t>
      </w:r>
      <w:r>
        <w:t>ct made it illegal to make false or malicio</w:t>
      </w:r>
      <w:r w:rsidRPr="00EA77C4">
        <w:t>us statements about the federal government.</w:t>
      </w:r>
      <w:r w:rsidR="008A3633" w:rsidRPr="00EA77C4">
        <w:t xml:space="preserve"> In </w:t>
      </w:r>
      <w:r w:rsidR="000A2C3F">
        <w:t>S</w:t>
      </w:r>
      <w:r w:rsidR="008A3633" w:rsidRPr="00EA77C4">
        <w:t xml:space="preserve">ection </w:t>
      </w:r>
      <w:r w:rsidR="000A2C3F">
        <w:t>T</w:t>
      </w:r>
      <w:r w:rsidR="008A3633" w:rsidRPr="00EA77C4">
        <w:t xml:space="preserve">wo under </w:t>
      </w:r>
      <w:r w:rsidR="000A2C3F">
        <w:t>C</w:t>
      </w:r>
      <w:r w:rsidR="008A3633" w:rsidRPr="00EA77C4">
        <w:t xml:space="preserve">hapter LXXIV, it states “that if any person shall write, print, utter or publish… or shall </w:t>
      </w:r>
      <w:r w:rsidR="008A3633" w:rsidRPr="00EA77C4">
        <w:lastRenderedPageBreak/>
        <w:t xml:space="preserve">knowingly and willingly assist or aid in writing, printing, uttering or publishing any false, scandalous and malicious writing or writings against the government of the Unites States” </w:t>
      </w:r>
      <w:r w:rsidR="000A2C3F">
        <w:t>that person c</w:t>
      </w:r>
      <w:r w:rsidR="008A3633" w:rsidRPr="00EA77C4">
        <w:t>an face</w:t>
      </w:r>
      <w:r w:rsidR="008A3633">
        <w:t xml:space="preserve"> imprisonment and fines.</w:t>
      </w:r>
      <w:r w:rsidR="00EA77C4">
        <w:rPr>
          <w:rStyle w:val="FootnoteReference"/>
        </w:rPr>
        <w:footnoteReference w:id="34"/>
      </w:r>
      <w:r>
        <w:t xml:space="preserve"> Adams employed this to suppress speech</w:t>
      </w:r>
      <w:r w:rsidR="000A2C3F">
        <w:t xml:space="preserve"> c</w:t>
      </w:r>
      <w:r>
        <w:t xml:space="preserve">ritical of his </w:t>
      </w:r>
      <w:r w:rsidRPr="00B61BE5">
        <w:t>administration. Most of the prominent prosecutions were members of the opposition party, the Democratic-Republicans. One such case was against Matthew Lyon, a congressman from Vermont, who called the administration one of “ridiculous pomp, foolish adulation, and selfish avarice.”</w:t>
      </w:r>
      <w:r w:rsidR="00EA77C4" w:rsidRPr="00B61BE5">
        <w:rPr>
          <w:rStyle w:val="FootnoteReference"/>
        </w:rPr>
        <w:footnoteReference w:id="35"/>
      </w:r>
      <w:r w:rsidRPr="00B61BE5">
        <w:t xml:space="preserve"> And because of the </w:t>
      </w:r>
      <w:r w:rsidR="000C257B">
        <w:t>A</w:t>
      </w:r>
      <w:r w:rsidRPr="00B61BE5">
        <w:t>ct he was fined $1</w:t>
      </w:r>
      <w:r w:rsidR="008B59DC">
        <w:t>,</w:t>
      </w:r>
      <w:r w:rsidRPr="00B61BE5">
        <w:t>000 and sentenced to four months of jail time.</w:t>
      </w:r>
    </w:p>
    <w:p w14:paraId="5BD9B084" w14:textId="430DE643" w:rsidR="008A3633" w:rsidRDefault="0022435E" w:rsidP="0030621E">
      <w:pPr>
        <w:spacing w:line="480" w:lineRule="auto"/>
      </w:pPr>
      <w:r w:rsidRPr="00B61BE5">
        <w:tab/>
      </w:r>
      <w:r w:rsidR="008B59DC">
        <w:t>Lyon’s 1</w:t>
      </w:r>
      <w:r w:rsidR="00ED61B8">
        <w:t>st Amendment</w:t>
      </w:r>
      <w:r>
        <w:t xml:space="preserve"> right that “Congress shall make no law… abridging the freedom of speech, or of the press” had been grossly violated. And free speech is a right considered </w:t>
      </w:r>
      <w:r w:rsidR="008B59DC">
        <w:t xml:space="preserve">paramount </w:t>
      </w:r>
      <w:r>
        <w:t xml:space="preserve">under Natural Law. In a state of nature, humanity </w:t>
      </w:r>
      <w:r w:rsidR="008A3633">
        <w:t>can say as they please. This agrees with Lock and Roseau. And if Montesquieu’s writings are considered, the divisions of government were breaking down. The Adams’ administration was targeting another branch of government, not leaving them alone with their distinct powers and responsibilities.</w:t>
      </w:r>
    </w:p>
    <w:p w14:paraId="723CF084" w14:textId="46CAC92E" w:rsidR="008A3633" w:rsidRPr="000F117C" w:rsidRDefault="00944866" w:rsidP="0030621E">
      <w:pPr>
        <w:spacing w:line="480" w:lineRule="auto"/>
        <w:rPr>
          <w:i/>
          <w:iCs/>
        </w:rPr>
      </w:pPr>
      <w:r>
        <w:rPr>
          <w:i/>
          <w:iCs/>
        </w:rPr>
        <w:t>Conclusion</w:t>
      </w:r>
    </w:p>
    <w:p w14:paraId="1EF240A2" w14:textId="563ED212" w:rsidR="00B36D36" w:rsidRDefault="008A3633" w:rsidP="0030621E">
      <w:pPr>
        <w:spacing w:line="480" w:lineRule="auto"/>
      </w:pPr>
      <w:r>
        <w:tab/>
        <w:t xml:space="preserve">The Adams’ administration’s biggest scandal was the passing of these four </w:t>
      </w:r>
      <w:r w:rsidR="008B59DC">
        <w:t>A</w:t>
      </w:r>
      <w:r>
        <w:t xml:space="preserve">cts. They demonstrated by the various interpretations of Natural Law to be against </w:t>
      </w:r>
      <w:r w:rsidR="00ED61B8">
        <w:t>Natural Law</w:t>
      </w:r>
      <w:r>
        <w:t xml:space="preserve">. Adams, being a proponent of </w:t>
      </w:r>
      <w:r w:rsidR="00D2367B">
        <w:t>Natural Law</w:t>
      </w:r>
      <w:r>
        <w:t xml:space="preserve">, having helped draft the Declaration of Independence which cites it, and discussing the importance of it in his own </w:t>
      </w:r>
      <w:r w:rsidR="00D2367B">
        <w:t xml:space="preserve">writings, was left looking hypocritical during the time in which these </w:t>
      </w:r>
      <w:r w:rsidR="008B59DC">
        <w:t>A</w:t>
      </w:r>
      <w:r w:rsidR="00D2367B">
        <w:t xml:space="preserve">cts were passed. He faced mass </w:t>
      </w:r>
      <w:r w:rsidR="00ED61B8">
        <w:t>criticism,</w:t>
      </w:r>
      <w:r w:rsidR="00D2367B">
        <w:t xml:space="preserve"> and these </w:t>
      </w:r>
      <w:r w:rsidR="008B59DC">
        <w:t>A</w:t>
      </w:r>
      <w:r w:rsidR="00D2367B">
        <w:t xml:space="preserve">cts may have cost him his bid for a second term in office. His willingness to go after political opponents using </w:t>
      </w:r>
      <w:r w:rsidR="008B59DC">
        <w:t>the Acts</w:t>
      </w:r>
      <w:r w:rsidR="00D2367B">
        <w:t xml:space="preserve"> demonstrates a level of rapacious and vileness he had not </w:t>
      </w:r>
      <w:r w:rsidR="008B59DC">
        <w:t>previously displayed</w:t>
      </w:r>
      <w:r w:rsidR="00D2367B">
        <w:t xml:space="preserve">. </w:t>
      </w:r>
      <w:r w:rsidR="00D2367B">
        <w:lastRenderedPageBreak/>
        <w:t>And as seen, Natural Law’s response to these Acts show the tyranny and constraining nature they held. These were not laws based on the foundations of Natural Law Theory. And they were quickly repealed or revised to better fit those foundations.</w:t>
      </w:r>
    </w:p>
    <w:p w14:paraId="1D4B691A" w14:textId="77777777" w:rsidR="00B36D36" w:rsidRDefault="00B36D36">
      <w:r>
        <w:br w:type="page"/>
      </w:r>
    </w:p>
    <w:p w14:paraId="0EA1AA5E" w14:textId="24A2ACED" w:rsidR="00BA6896" w:rsidRDefault="00B36D36" w:rsidP="00B36D36">
      <w:pPr>
        <w:spacing w:line="480" w:lineRule="auto"/>
        <w:jc w:val="center"/>
      </w:pPr>
      <w:r>
        <w:lastRenderedPageBreak/>
        <w:t>Bibliography</w:t>
      </w:r>
    </w:p>
    <w:p w14:paraId="09EAC846" w14:textId="629C9A91" w:rsidR="00826C01" w:rsidRPr="00826C01" w:rsidRDefault="00826C01" w:rsidP="00DB1B29">
      <w:pPr>
        <w:ind w:left="720" w:hanging="720"/>
      </w:pPr>
      <w:r w:rsidRPr="00826C01">
        <w:t>Adair,</w:t>
      </w:r>
      <w:r>
        <w:t xml:space="preserve"> Douglas.</w:t>
      </w:r>
      <w:r w:rsidRPr="00826C01">
        <w:t xml:space="preserve"> </w:t>
      </w:r>
      <w:r w:rsidRPr="00826C01">
        <w:rPr>
          <w:i/>
          <w:iCs/>
        </w:rPr>
        <w:t xml:space="preserve">Fame and the Founding Fathers: Essays </w:t>
      </w:r>
      <w:r w:rsidRPr="00826C01">
        <w:rPr>
          <w:i/>
          <w:iCs/>
        </w:rPr>
        <w:t>by</w:t>
      </w:r>
      <w:r w:rsidRPr="00826C01">
        <w:rPr>
          <w:i/>
          <w:iCs/>
        </w:rPr>
        <w:t xml:space="preserve"> Douglass Adair</w:t>
      </w:r>
      <w:r>
        <w:t>.</w:t>
      </w:r>
      <w:r w:rsidRPr="00826C01">
        <w:t xml:space="preserve"> </w:t>
      </w:r>
      <w:r>
        <w:t>Edited by</w:t>
      </w:r>
      <w:r w:rsidRPr="00826C01">
        <w:t xml:space="preserve"> Trevor </w:t>
      </w:r>
      <w:proofErr w:type="spellStart"/>
      <w:r w:rsidRPr="00826C01">
        <w:t>Colbum</w:t>
      </w:r>
      <w:proofErr w:type="spellEnd"/>
      <w:r>
        <w:t>.</w:t>
      </w:r>
      <w:r w:rsidRPr="00826C01">
        <w:t xml:space="preserve"> New York: W. E. Norton &amp; Company, Inc., 1974.</w:t>
      </w:r>
    </w:p>
    <w:p w14:paraId="3D4D5057" w14:textId="77777777" w:rsidR="00826C01" w:rsidRDefault="00826C01" w:rsidP="00DB1B29">
      <w:pPr>
        <w:ind w:left="720" w:hanging="720"/>
        <w:rPr>
          <w:i/>
          <w:iCs/>
        </w:rPr>
      </w:pPr>
    </w:p>
    <w:p w14:paraId="0B75DA01" w14:textId="0F11EA11" w:rsidR="000F117C" w:rsidRDefault="000F117C" w:rsidP="00DB1B29">
      <w:pPr>
        <w:ind w:left="720" w:hanging="720"/>
      </w:pPr>
      <w:r w:rsidRPr="004853A3">
        <w:rPr>
          <w:i/>
          <w:iCs/>
        </w:rPr>
        <w:t>An Act Concerning Aliens, July 6, 1798</w:t>
      </w:r>
      <w:r w:rsidR="00D652A9">
        <w:t>.</w:t>
      </w:r>
      <w:r w:rsidRPr="004853A3">
        <w:t xml:space="preserve"> Fifth Congress; Enrolled Acts and Resolutions; General Records of the United States Government; Record Group 11; National Archives.</w:t>
      </w:r>
    </w:p>
    <w:p w14:paraId="19C89CE8" w14:textId="751FB3CE" w:rsidR="000F117C" w:rsidRDefault="000F117C" w:rsidP="00DB1B29">
      <w:pPr>
        <w:ind w:hanging="720"/>
      </w:pPr>
    </w:p>
    <w:p w14:paraId="5C41D5ED" w14:textId="06C9BB70" w:rsidR="000F117C" w:rsidRDefault="000F117C" w:rsidP="00DB1B29">
      <w:pPr>
        <w:ind w:left="720" w:hanging="720"/>
      </w:pPr>
      <w:r>
        <w:rPr>
          <w:i/>
          <w:iCs/>
        </w:rPr>
        <w:t>An Act Respecting Alien Enemies</w:t>
      </w:r>
      <w:r w:rsidR="00D652A9">
        <w:t xml:space="preserve">. </w:t>
      </w:r>
      <w:r>
        <w:t>Fifth Congress, United States Government</w:t>
      </w:r>
      <w:r w:rsidR="00D652A9">
        <w:t>.</w:t>
      </w:r>
      <w:r>
        <w:t xml:space="preserve"> </w:t>
      </w:r>
      <w:r w:rsidRPr="002E2F06">
        <w:t>https://web.archive.org/web/20161220094337/http://library.uwb.edu/static/USimmigration/1%20stat%20577.pdf</w:t>
      </w:r>
    </w:p>
    <w:p w14:paraId="22BA9E3C" w14:textId="34465BC0" w:rsidR="000F117C" w:rsidRDefault="000F117C" w:rsidP="00DB1B29">
      <w:pPr>
        <w:ind w:hanging="720"/>
      </w:pPr>
    </w:p>
    <w:p w14:paraId="6B0D2C96" w14:textId="77777777" w:rsidR="00DB1B29" w:rsidRDefault="00DB1B29" w:rsidP="00DB1B29">
      <w:pPr>
        <w:ind w:left="720" w:hanging="720"/>
      </w:pPr>
      <w:r>
        <w:t xml:space="preserve">Aquinas, Thomas. </w:t>
      </w:r>
      <w:r>
        <w:rPr>
          <w:i/>
          <w:iCs/>
        </w:rPr>
        <w:t xml:space="preserve">Suma Theologica. </w:t>
      </w:r>
      <w:r>
        <w:t>Translated by Fathers of the English Dominican Province. Benziger Bros. edition, 1947.</w:t>
      </w:r>
    </w:p>
    <w:p w14:paraId="0A3AA2C1" w14:textId="77777777" w:rsidR="00DB1B29" w:rsidRDefault="00DB1B29" w:rsidP="00DB1B29">
      <w:pPr>
        <w:ind w:hanging="720"/>
      </w:pPr>
    </w:p>
    <w:p w14:paraId="037B467C" w14:textId="3B90059F" w:rsidR="000F117C" w:rsidRDefault="000F117C" w:rsidP="00DB1B29">
      <w:pPr>
        <w:ind w:left="720" w:hanging="720"/>
      </w:pPr>
      <w:r>
        <w:rPr>
          <w:i/>
          <w:iCs/>
        </w:rPr>
        <w:t>Artl.S8.C4.1.2.3 Early U.S. Naturalization Laws</w:t>
      </w:r>
      <w:r w:rsidR="00D652A9">
        <w:t>.</w:t>
      </w:r>
      <w:r>
        <w:t xml:space="preserve"> Constitution Annotated</w:t>
      </w:r>
      <w:r w:rsidR="00D652A9">
        <w:t>.</w:t>
      </w:r>
      <w:r>
        <w:t xml:space="preserve"> </w:t>
      </w:r>
      <w:hyperlink r:id="rId7" w:history="1">
        <w:r w:rsidR="00D652A9" w:rsidRPr="008244C7">
          <w:rPr>
            <w:rStyle w:val="Hyperlink"/>
          </w:rPr>
          <w:t>https://constitution.congress.gov/browse/essay/artI-S8-C4-1-2-3/ALDE_00013163/#ALDF_00019939</w:t>
        </w:r>
      </w:hyperlink>
    </w:p>
    <w:p w14:paraId="3357C8BC" w14:textId="77777777" w:rsidR="00D652A9" w:rsidRDefault="00D652A9" w:rsidP="00DB1B29">
      <w:pPr>
        <w:ind w:left="720" w:hanging="720"/>
      </w:pPr>
    </w:p>
    <w:p w14:paraId="3A545DDA" w14:textId="58B7FB08" w:rsidR="00D652A9" w:rsidRDefault="00D652A9" w:rsidP="00DB1B29">
      <w:pPr>
        <w:ind w:left="720" w:hanging="720"/>
      </w:pPr>
      <w:r w:rsidRPr="00D652A9">
        <w:t>Beard,</w:t>
      </w:r>
      <w:r>
        <w:t xml:space="preserve"> Charles A.</w:t>
      </w:r>
      <w:r w:rsidRPr="00D652A9">
        <w:t xml:space="preserve"> </w:t>
      </w:r>
      <w:r w:rsidRPr="00D652A9">
        <w:rPr>
          <w:i/>
          <w:iCs/>
        </w:rPr>
        <w:t>An Economic Interpretation of the Constitution</w:t>
      </w:r>
      <w:r>
        <w:t xml:space="preserve">. </w:t>
      </w:r>
      <w:r w:rsidRPr="00D652A9">
        <w:t>Mineola, New York: Dover Publications, Inc., May 20</w:t>
      </w:r>
      <w:r w:rsidRPr="00D652A9">
        <w:rPr>
          <w:vertAlign w:val="superscript"/>
        </w:rPr>
        <w:t>th</w:t>
      </w:r>
      <w:r w:rsidRPr="00D652A9">
        <w:t>, 2004</w:t>
      </w:r>
      <w:r>
        <w:t>.</w:t>
      </w:r>
    </w:p>
    <w:p w14:paraId="0AD10E3C" w14:textId="77777777" w:rsidR="00826C01" w:rsidRDefault="00826C01" w:rsidP="00DB1B29">
      <w:pPr>
        <w:ind w:left="720" w:hanging="720"/>
      </w:pPr>
    </w:p>
    <w:p w14:paraId="7142BF67" w14:textId="28D4F737" w:rsidR="00826C01" w:rsidRDefault="00826C01" w:rsidP="00DB1B29">
      <w:pPr>
        <w:ind w:left="720" w:hanging="720"/>
      </w:pPr>
      <w:r w:rsidRPr="00826C01">
        <w:t>Burns,</w:t>
      </w:r>
      <w:r>
        <w:t xml:space="preserve"> </w:t>
      </w:r>
      <w:r w:rsidRPr="00826C01">
        <w:t xml:space="preserve">Edward </w:t>
      </w:r>
      <w:proofErr w:type="spellStart"/>
      <w:r w:rsidRPr="00826C01">
        <w:t>McNall</w:t>
      </w:r>
      <w:proofErr w:type="spellEnd"/>
      <w:r>
        <w:t>.</w:t>
      </w:r>
      <w:r w:rsidRPr="00826C01">
        <w:rPr>
          <w:i/>
          <w:iCs/>
        </w:rPr>
        <w:t xml:space="preserve"> “</w:t>
      </w:r>
      <w:r w:rsidRPr="00826C01">
        <w:t>The Philosophy of History of the Founding Fathers</w:t>
      </w:r>
      <w:r w:rsidRPr="00826C01">
        <w:rPr>
          <w:i/>
          <w:iCs/>
        </w:rPr>
        <w:t xml:space="preserve">.” The Historian </w:t>
      </w:r>
      <w:r w:rsidRPr="00826C01">
        <w:t>16, no. 2 (1954)</w:t>
      </w:r>
      <w:r>
        <w:t>.</w:t>
      </w:r>
      <w:r w:rsidRPr="00826C01">
        <w:t xml:space="preserve"> http://www.jstor.org/stable/24442236.</w:t>
      </w:r>
    </w:p>
    <w:p w14:paraId="13DF5642" w14:textId="77777777" w:rsidR="000F117C" w:rsidRPr="000F117C" w:rsidRDefault="000F117C" w:rsidP="00DB1B29">
      <w:pPr>
        <w:ind w:hanging="720"/>
      </w:pPr>
    </w:p>
    <w:p w14:paraId="7C5D41BC" w14:textId="14F9B4EB" w:rsidR="000F117C" w:rsidRDefault="000F117C" w:rsidP="00DB1B29">
      <w:pPr>
        <w:ind w:left="720" w:hanging="720"/>
      </w:pPr>
      <w:r>
        <w:rPr>
          <w:i/>
          <w:iCs/>
        </w:rPr>
        <w:t>Declarations Resources Project</w:t>
      </w:r>
      <w:r w:rsidR="00D652A9">
        <w:t>.</w:t>
      </w:r>
      <w:r>
        <w:t xml:space="preserve"> Harvard University</w:t>
      </w:r>
      <w:r w:rsidR="00D652A9">
        <w:t>.</w:t>
      </w:r>
      <w:r>
        <w:t xml:space="preserve"> </w:t>
      </w:r>
      <w:hyperlink r:id="rId8" w:history="1">
        <w:r w:rsidR="00DB1B29" w:rsidRPr="005C0C05">
          <w:rPr>
            <w:rStyle w:val="Hyperlink"/>
          </w:rPr>
          <w:t>https://declaration.fas.harvard.edu/faq/how-many-</w:t>
        </w:r>
      </w:hyperlink>
      <w:r w:rsidRPr="00AE15E3">
        <w:t>grievances-are-declaration-independence</w:t>
      </w:r>
      <w:proofErr w:type="gramStart"/>
      <w:r w:rsidRPr="00AE15E3">
        <w:t>#:~</w:t>
      </w:r>
      <w:proofErr w:type="gramEnd"/>
      <w:r w:rsidRPr="00AE15E3">
        <w:t>:text=A%20grievance%20is%20defined%20by,He%22%20is%20King%20George%20III.</w:t>
      </w:r>
    </w:p>
    <w:p w14:paraId="4612026E" w14:textId="55EF3E03" w:rsidR="000F117C" w:rsidRDefault="000F117C" w:rsidP="00DB1B29">
      <w:pPr>
        <w:ind w:hanging="720"/>
      </w:pPr>
    </w:p>
    <w:p w14:paraId="66FCCCA8" w14:textId="77777777" w:rsidR="00DB1B29" w:rsidRDefault="00DB1B29" w:rsidP="00DB1B29">
      <w:pPr>
        <w:ind w:left="720" w:hanging="720"/>
      </w:pPr>
      <w:r>
        <w:t xml:space="preserve">Hobbes, Thomas. </w:t>
      </w:r>
      <w:r>
        <w:rPr>
          <w:i/>
          <w:iCs/>
        </w:rPr>
        <w:t xml:space="preserve">De Cive. </w:t>
      </w:r>
      <w:r>
        <w:t>1642.</w:t>
      </w:r>
    </w:p>
    <w:p w14:paraId="2590105D" w14:textId="77777777" w:rsidR="000F117C" w:rsidRDefault="000F117C" w:rsidP="00DB1B29">
      <w:pPr>
        <w:ind w:hanging="720"/>
      </w:pPr>
    </w:p>
    <w:p w14:paraId="47CB3D39" w14:textId="77777777" w:rsidR="00DB1B29" w:rsidRDefault="00DB1B29" w:rsidP="00DB1B29">
      <w:pPr>
        <w:ind w:left="720" w:hanging="720"/>
      </w:pPr>
      <w:r>
        <w:t xml:space="preserve">Hobbes, Thomas. </w:t>
      </w:r>
      <w:r>
        <w:rPr>
          <w:i/>
          <w:iCs/>
        </w:rPr>
        <w:t xml:space="preserve">Leviathan: Reprinted From the Edition </w:t>
      </w:r>
      <w:r w:rsidRPr="00D652A9">
        <w:rPr>
          <w:i/>
          <w:iCs/>
        </w:rPr>
        <w:t>of 1651.</w:t>
      </w:r>
      <w:r>
        <w:t xml:space="preserve"> Oxford University Press, 1909.</w:t>
      </w:r>
    </w:p>
    <w:p w14:paraId="300978D4" w14:textId="61055C9E" w:rsidR="000F117C" w:rsidRDefault="000F117C" w:rsidP="00DB1B29">
      <w:pPr>
        <w:ind w:hanging="720"/>
      </w:pPr>
    </w:p>
    <w:p w14:paraId="5A0E7B11" w14:textId="4F015372" w:rsidR="00DB1B29" w:rsidRDefault="00DB1B29" w:rsidP="00DB1B29">
      <w:pPr>
        <w:ind w:left="720" w:hanging="720"/>
      </w:pPr>
      <w:bookmarkStart w:id="6" w:name="_Hlk132765574"/>
      <w:r>
        <w:t xml:space="preserve">Jefferson, Thomas. </w:t>
      </w:r>
      <w:r>
        <w:rPr>
          <w:i/>
          <w:iCs/>
        </w:rPr>
        <w:t>The Declaration of Independence</w:t>
      </w:r>
      <w:r>
        <w:t>. 1776.</w:t>
      </w:r>
    </w:p>
    <w:p w14:paraId="16328A87" w14:textId="77777777" w:rsidR="00826C01" w:rsidRDefault="00826C01" w:rsidP="00DB1B29">
      <w:pPr>
        <w:ind w:left="720" w:hanging="720"/>
      </w:pPr>
    </w:p>
    <w:p w14:paraId="4C0BA7C3" w14:textId="600574F8" w:rsidR="00826C01" w:rsidRPr="00826C01" w:rsidRDefault="00826C01" w:rsidP="00826C01">
      <w:pPr>
        <w:ind w:left="720" w:hanging="720"/>
      </w:pPr>
      <w:r w:rsidRPr="00826C01">
        <w:t xml:space="preserve">Jefferson, Thomas. </w:t>
      </w:r>
      <w:r>
        <w:rPr>
          <w:i/>
          <w:iCs/>
        </w:rPr>
        <w:t xml:space="preserve">The </w:t>
      </w:r>
      <w:r w:rsidRPr="00826C01">
        <w:rPr>
          <w:i/>
          <w:iCs/>
        </w:rPr>
        <w:t>Declaration of Independence.</w:t>
      </w:r>
      <w:r w:rsidRPr="00826C01">
        <w:t xml:space="preserve"> Manuscript Copy handwritten by John Adams. Massachusetts Historical Society. </w:t>
      </w:r>
      <w:r w:rsidRPr="00826C01">
        <w:rPr>
          <w:i/>
          <w:iCs/>
        </w:rPr>
        <w:t>Adams Family Papers</w:t>
      </w:r>
      <w:r w:rsidRPr="00826C01">
        <w:t>.</w:t>
      </w:r>
      <w:r>
        <w:t xml:space="preserve"> </w:t>
      </w:r>
      <w:hyperlink r:id="rId9" w:history="1">
        <w:r w:rsidRPr="00826C01">
          <w:rPr>
            <w:rStyle w:val="Hyperlink"/>
          </w:rPr>
          <w:t>https://www.masshist.org/database/6</w:t>
        </w:r>
      </w:hyperlink>
    </w:p>
    <w:p w14:paraId="7E01D122" w14:textId="77777777" w:rsidR="00826C01" w:rsidRDefault="00826C01" w:rsidP="00DB1B29">
      <w:pPr>
        <w:ind w:left="720" w:hanging="720"/>
      </w:pPr>
    </w:p>
    <w:bookmarkEnd w:id="6"/>
    <w:p w14:paraId="4B173213" w14:textId="77777777" w:rsidR="00DB1B29" w:rsidRPr="00DB1B29" w:rsidRDefault="00DB1B29" w:rsidP="00DB1B29">
      <w:pPr>
        <w:ind w:hanging="720"/>
      </w:pPr>
    </w:p>
    <w:p w14:paraId="0E2DC3F6" w14:textId="77777777" w:rsidR="00DB1B29" w:rsidRDefault="00DB1B29" w:rsidP="00DB1B29">
      <w:pPr>
        <w:ind w:left="720" w:hanging="720"/>
      </w:pPr>
      <w:r>
        <w:t xml:space="preserve">Locke, John. </w:t>
      </w:r>
      <w:r>
        <w:rPr>
          <w:i/>
          <w:iCs/>
        </w:rPr>
        <w:t>An Essay Concerning Human Understanding</w:t>
      </w:r>
      <w:r>
        <w:t xml:space="preserve">. </w:t>
      </w:r>
      <w:bookmarkStart w:id="7" w:name="_Hlk132803110"/>
      <w:r>
        <w:t>London, England: Oxford University Press, 1689.</w:t>
      </w:r>
      <w:bookmarkEnd w:id="7"/>
    </w:p>
    <w:p w14:paraId="104101AA" w14:textId="77777777" w:rsidR="00DB1B29" w:rsidRDefault="00DB1B29" w:rsidP="00DB1B29">
      <w:pPr>
        <w:ind w:hanging="720"/>
      </w:pPr>
    </w:p>
    <w:p w14:paraId="188ABB60" w14:textId="77777777" w:rsidR="00DB1B29" w:rsidRDefault="00DB1B29" w:rsidP="00DB1B29">
      <w:pPr>
        <w:ind w:left="720" w:hanging="720"/>
      </w:pPr>
      <w:r>
        <w:lastRenderedPageBreak/>
        <w:t>Locke, John. </w:t>
      </w:r>
      <w:r>
        <w:rPr>
          <w:i/>
          <w:iCs/>
        </w:rPr>
        <w:t>Second Treatise of Government</w:t>
      </w:r>
      <w:r>
        <w:t xml:space="preserve">. </w:t>
      </w:r>
      <w:bookmarkStart w:id="8" w:name="_Hlk132803015"/>
      <w:r>
        <w:t>Edited by C. B. Macpherson. Cambridge, MA: Hackett Publishing, 1980.</w:t>
      </w:r>
    </w:p>
    <w:bookmarkEnd w:id="8"/>
    <w:p w14:paraId="6136DD58" w14:textId="1B05C54B" w:rsidR="000F117C" w:rsidRDefault="000F117C" w:rsidP="00DB1B29">
      <w:pPr>
        <w:ind w:hanging="720"/>
      </w:pPr>
    </w:p>
    <w:p w14:paraId="4CAAFE41" w14:textId="77777777" w:rsidR="00DB1B29" w:rsidRPr="00DB1B29" w:rsidRDefault="00DB1B29" w:rsidP="00DB1B29">
      <w:pPr>
        <w:ind w:left="720" w:hanging="720"/>
        <w:rPr>
          <w:rFonts w:eastAsia="Times New Roman"/>
          <w:kern w:val="0"/>
          <w14:ligatures w14:val="none"/>
        </w:rPr>
      </w:pPr>
      <w:r w:rsidRPr="00DB1B29">
        <w:rPr>
          <w:rFonts w:eastAsia="Times New Roman"/>
          <w:kern w:val="0"/>
          <w14:ligatures w14:val="none"/>
        </w:rPr>
        <w:t xml:space="preserve">McNall Burns, Edward. “The Philosophy of History of the Founding Fathers.” </w:t>
      </w:r>
      <w:r w:rsidRPr="00DB1B29">
        <w:rPr>
          <w:rFonts w:eastAsia="Times New Roman"/>
          <w:i/>
          <w:iCs/>
          <w:kern w:val="0"/>
          <w14:ligatures w14:val="none"/>
        </w:rPr>
        <w:t>The Historian</w:t>
      </w:r>
      <w:r w:rsidRPr="00DB1B29">
        <w:rPr>
          <w:rFonts w:eastAsia="Times New Roman"/>
          <w:kern w:val="0"/>
          <w14:ligatures w14:val="none"/>
        </w:rPr>
        <w:t xml:space="preserve"> 16, no. 2 (1954): 142–68. http://www.jstor.org/stable/24442236.</w:t>
      </w:r>
    </w:p>
    <w:p w14:paraId="476E97D3" w14:textId="77777777" w:rsidR="00DB1B29" w:rsidRDefault="00DB1B29" w:rsidP="00DB1B29">
      <w:pPr>
        <w:ind w:hanging="720"/>
      </w:pPr>
    </w:p>
    <w:p w14:paraId="5D1F2E7E" w14:textId="3981562E" w:rsidR="00DB1B29" w:rsidRDefault="00DB1B29" w:rsidP="00DB1B29">
      <w:r>
        <w:t>Mosiah 3:19</w:t>
      </w:r>
      <w:r w:rsidR="00D652A9">
        <w:t xml:space="preserve"> (</w:t>
      </w:r>
      <w:r>
        <w:t>The Book of Mormon)</w:t>
      </w:r>
    </w:p>
    <w:p w14:paraId="57DB151A" w14:textId="77777777" w:rsidR="00DB1B29" w:rsidRDefault="00DB1B29" w:rsidP="00DB1B29">
      <w:pPr>
        <w:ind w:left="720" w:hanging="720"/>
      </w:pPr>
    </w:p>
    <w:p w14:paraId="55426F8F" w14:textId="00EB2445" w:rsidR="000F117C" w:rsidRDefault="000F117C" w:rsidP="00DB1B29">
      <w:pPr>
        <w:ind w:left="720" w:hanging="720"/>
      </w:pPr>
      <w:r>
        <w:t xml:space="preserve">Rousseau, Jean-Jacques. </w:t>
      </w:r>
      <w:r>
        <w:rPr>
          <w:i/>
          <w:iCs/>
        </w:rPr>
        <w:t>The Social Contract</w:t>
      </w:r>
      <w:r>
        <w:t>. Translated by Jonathan Bennett. Copyright Jonathan Bennett, 2017.</w:t>
      </w:r>
    </w:p>
    <w:p w14:paraId="0646FFC2" w14:textId="77777777" w:rsidR="000F117C" w:rsidRPr="000F117C" w:rsidRDefault="000F117C" w:rsidP="00DB1B29">
      <w:pPr>
        <w:ind w:hanging="720"/>
      </w:pPr>
    </w:p>
    <w:p w14:paraId="0FD0D73E" w14:textId="16C86023" w:rsidR="000F117C" w:rsidRDefault="000F117C" w:rsidP="00DB1B29">
      <w:pPr>
        <w:ind w:left="720" w:hanging="720"/>
      </w:pPr>
      <w:r>
        <w:rPr>
          <w:i/>
          <w:iCs/>
        </w:rPr>
        <w:t xml:space="preserve">To James Madison </w:t>
      </w:r>
      <w:proofErr w:type="gramStart"/>
      <w:r>
        <w:rPr>
          <w:i/>
          <w:iCs/>
        </w:rPr>
        <w:t>From</w:t>
      </w:r>
      <w:proofErr w:type="gramEnd"/>
      <w:r>
        <w:rPr>
          <w:i/>
          <w:iCs/>
        </w:rPr>
        <w:t xml:space="preserve"> Thomas Jefferson, 3 November 1798</w:t>
      </w:r>
      <w:r w:rsidR="00D652A9">
        <w:t>.</w:t>
      </w:r>
      <w:r>
        <w:t xml:space="preserve"> National Archives</w:t>
      </w:r>
      <w:r w:rsidR="00D652A9">
        <w:t xml:space="preserve">. </w:t>
      </w:r>
      <w:hyperlink r:id="rId10" w:history="1">
        <w:r w:rsidR="00D652A9" w:rsidRPr="008244C7">
          <w:rPr>
            <w:rStyle w:val="Hyperlink"/>
          </w:rPr>
          <w:t>https://founders.archives.gov/documents/Madison/01-17-02-0119</w:t>
        </w:r>
      </w:hyperlink>
    </w:p>
    <w:p w14:paraId="58E7825A" w14:textId="44808F8F" w:rsidR="000F117C" w:rsidRDefault="000F117C" w:rsidP="00DB1B29">
      <w:pPr>
        <w:ind w:hanging="720"/>
      </w:pPr>
    </w:p>
    <w:p w14:paraId="13104B20" w14:textId="47762DCF" w:rsidR="000F117C" w:rsidRDefault="00DB1B29" w:rsidP="00DC6F47">
      <w:pPr>
        <w:ind w:left="720" w:hanging="720"/>
        <w:rPr>
          <w:i/>
          <w:iCs/>
        </w:rPr>
      </w:pPr>
      <w:r>
        <w:rPr>
          <w:i/>
          <w:iCs/>
        </w:rPr>
        <w:t>United States Constitution, Bill of Rights, amend 1.</w:t>
      </w:r>
    </w:p>
    <w:p w14:paraId="2323D153" w14:textId="77777777" w:rsidR="00826C01" w:rsidRDefault="00826C01" w:rsidP="00DC6F47">
      <w:pPr>
        <w:ind w:left="720" w:hanging="720"/>
        <w:rPr>
          <w:i/>
          <w:iCs/>
        </w:rPr>
      </w:pPr>
    </w:p>
    <w:p w14:paraId="27CA8C4E" w14:textId="56FBFA9C" w:rsidR="00826C01" w:rsidRDefault="00826C01" w:rsidP="00DC6F47">
      <w:pPr>
        <w:ind w:left="720" w:hanging="720"/>
      </w:pPr>
      <w:r w:rsidRPr="00826C01">
        <w:t>Wills,</w:t>
      </w:r>
      <w:r>
        <w:t xml:space="preserve"> Gary.</w:t>
      </w:r>
      <w:r w:rsidRPr="00826C01">
        <w:t xml:space="preserve"> </w:t>
      </w:r>
      <w:r w:rsidRPr="00826C01">
        <w:rPr>
          <w:i/>
          <w:iCs/>
        </w:rPr>
        <w:t>Inventing America: Jefferson’s Declaration of Independence</w:t>
      </w:r>
      <w:r>
        <w:t xml:space="preserve">. </w:t>
      </w:r>
      <w:r w:rsidRPr="00826C01">
        <w:t>New York: Doubleday &amp; Co., 1978.</w:t>
      </w:r>
    </w:p>
    <w:p w14:paraId="525BF418" w14:textId="77777777" w:rsidR="00826C01" w:rsidRDefault="00826C01" w:rsidP="00DC6F47">
      <w:pPr>
        <w:ind w:left="720" w:hanging="720"/>
      </w:pPr>
    </w:p>
    <w:p w14:paraId="70B18B46" w14:textId="77777777" w:rsidR="00826C01" w:rsidRPr="00826C01" w:rsidRDefault="00826C01" w:rsidP="00826C01">
      <w:pPr>
        <w:ind w:left="720" w:hanging="720"/>
      </w:pPr>
      <w:proofErr w:type="spellStart"/>
      <w:r w:rsidRPr="00826C01">
        <w:t>Zuckert</w:t>
      </w:r>
      <w:proofErr w:type="spellEnd"/>
      <w:r w:rsidRPr="00826C01">
        <w:t xml:space="preserve">, Michael P. </w:t>
      </w:r>
      <w:r w:rsidRPr="00826C01">
        <w:rPr>
          <w:i/>
          <w:iCs/>
        </w:rPr>
        <w:t>Natural Rights and the New Republicanism</w:t>
      </w:r>
      <w:r w:rsidRPr="00826C01">
        <w:t>. Princeton University Press, 1994.</w:t>
      </w:r>
    </w:p>
    <w:p w14:paraId="7A4A1E86" w14:textId="77777777" w:rsidR="00826C01" w:rsidRDefault="00826C01" w:rsidP="00DC6F47">
      <w:pPr>
        <w:ind w:left="720" w:hanging="720"/>
      </w:pPr>
    </w:p>
    <w:p w14:paraId="46124408" w14:textId="22D303FB" w:rsidR="00826C01" w:rsidRPr="00826C01" w:rsidRDefault="00826C01" w:rsidP="00DC6F47">
      <w:pPr>
        <w:ind w:left="720" w:hanging="720"/>
      </w:pPr>
      <w:proofErr w:type="spellStart"/>
      <w:r w:rsidRPr="00826C01">
        <w:t>Zuckert</w:t>
      </w:r>
      <w:proofErr w:type="spellEnd"/>
      <w:r w:rsidRPr="00826C01">
        <w:t xml:space="preserve">, Michael P. </w:t>
      </w:r>
      <w:r w:rsidRPr="00826C01">
        <w:rPr>
          <w:i/>
          <w:iCs/>
        </w:rPr>
        <w:t>The Natural Rights Republic</w:t>
      </w:r>
      <w:r w:rsidRPr="00826C01">
        <w:t>. University of Notre Dame Press, 1996.</w:t>
      </w:r>
    </w:p>
    <w:sectPr w:rsidR="00826C01" w:rsidRPr="00826C01" w:rsidSect="00040DC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BE6B" w14:textId="77777777" w:rsidR="00060D58" w:rsidRDefault="00060D58" w:rsidP="00D662C9">
      <w:r>
        <w:separator/>
      </w:r>
    </w:p>
  </w:endnote>
  <w:endnote w:type="continuationSeparator" w:id="0">
    <w:p w14:paraId="53505CAF" w14:textId="77777777" w:rsidR="00060D58" w:rsidRDefault="00060D58" w:rsidP="00D6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74DD" w14:textId="77777777" w:rsidR="00060D58" w:rsidRDefault="00060D58" w:rsidP="00D662C9">
      <w:r>
        <w:separator/>
      </w:r>
    </w:p>
  </w:footnote>
  <w:footnote w:type="continuationSeparator" w:id="0">
    <w:p w14:paraId="12E77860" w14:textId="77777777" w:rsidR="00060D58" w:rsidRDefault="00060D58" w:rsidP="00D662C9">
      <w:r>
        <w:continuationSeparator/>
      </w:r>
    </w:p>
  </w:footnote>
  <w:footnote w:id="1">
    <w:p w14:paraId="0C8A11B9" w14:textId="77777777" w:rsidR="0074163D" w:rsidRDefault="0074163D" w:rsidP="0074163D">
      <w:pPr>
        <w:pStyle w:val="FootnoteText"/>
      </w:pPr>
      <w:r>
        <w:rPr>
          <w:rStyle w:val="FootnoteReference"/>
        </w:rPr>
        <w:footnoteRef/>
      </w:r>
      <w:r>
        <w:t xml:space="preserve"> Mosiah 3:19 (The Book of Mormon)</w:t>
      </w:r>
    </w:p>
  </w:footnote>
  <w:footnote w:id="2">
    <w:p w14:paraId="16273AB5" w14:textId="51AC06DF" w:rsidR="00D662C9" w:rsidRPr="00BA65DF" w:rsidRDefault="00D662C9">
      <w:pPr>
        <w:pStyle w:val="FootnoteText"/>
      </w:pPr>
      <w:r>
        <w:rPr>
          <w:rStyle w:val="FootnoteReference"/>
        </w:rPr>
        <w:footnoteRef/>
      </w:r>
      <w:r>
        <w:t xml:space="preserve"> </w:t>
      </w:r>
      <w:bookmarkStart w:id="0" w:name="_Hlk132804482"/>
      <w:r w:rsidR="00BA65DF">
        <w:t xml:space="preserve">Edward </w:t>
      </w:r>
      <w:r w:rsidR="00BA65DF" w:rsidRPr="00BA65DF">
        <w:t>McNall Burns</w:t>
      </w:r>
      <w:r w:rsidR="00BA65DF">
        <w:t>,</w:t>
      </w:r>
      <w:r w:rsidR="00BA65DF" w:rsidRPr="00BA65DF">
        <w:rPr>
          <w:i/>
          <w:iCs/>
        </w:rPr>
        <w:t xml:space="preserve"> “</w:t>
      </w:r>
      <w:r w:rsidR="00BA65DF" w:rsidRPr="00D96EBB">
        <w:t>The Philosophy of History of the Founding Fathers</w:t>
      </w:r>
      <w:r w:rsidR="00BA65DF" w:rsidRPr="00BA65DF">
        <w:rPr>
          <w:i/>
          <w:iCs/>
        </w:rPr>
        <w:t xml:space="preserve">.” </w:t>
      </w:r>
      <w:r w:rsidR="00BA65DF" w:rsidRPr="00D96EBB">
        <w:rPr>
          <w:i/>
          <w:iCs/>
        </w:rPr>
        <w:t xml:space="preserve">The Historian </w:t>
      </w:r>
      <w:r w:rsidR="00BA65DF" w:rsidRPr="00BA65DF">
        <w:t>16, no. 2 (1954): 142–68</w:t>
      </w:r>
      <w:r w:rsidR="00BA65DF">
        <w:t>,</w:t>
      </w:r>
      <w:r w:rsidR="00BA65DF" w:rsidRPr="00BA65DF">
        <w:t xml:space="preserve"> http://www.jstor.org/stable/24442236.</w:t>
      </w:r>
      <w:bookmarkEnd w:id="0"/>
    </w:p>
  </w:footnote>
  <w:footnote w:id="3">
    <w:p w14:paraId="6E1EC297" w14:textId="5DF0A96E" w:rsidR="000F253A" w:rsidRPr="000F253A" w:rsidRDefault="000F253A">
      <w:pPr>
        <w:pStyle w:val="FootnoteText"/>
      </w:pPr>
      <w:r>
        <w:rPr>
          <w:rStyle w:val="FootnoteReference"/>
        </w:rPr>
        <w:footnoteRef/>
      </w:r>
      <w:r>
        <w:t xml:space="preserve"> </w:t>
      </w:r>
      <w:bookmarkStart w:id="1" w:name="_Hlk132804426"/>
      <w:r>
        <w:t xml:space="preserve">Charles A. Beard, </w:t>
      </w:r>
      <w:r>
        <w:rPr>
          <w:i/>
          <w:iCs/>
        </w:rPr>
        <w:t>An Economic Interpretation of the Constitution</w:t>
      </w:r>
      <w:r>
        <w:t xml:space="preserve"> (Mineola, New York: Dover Publications, Inc., May 20</w:t>
      </w:r>
      <w:r w:rsidRPr="000F253A">
        <w:rPr>
          <w:vertAlign w:val="superscript"/>
        </w:rPr>
        <w:t>th</w:t>
      </w:r>
      <w:r>
        <w:t>, 2004).</w:t>
      </w:r>
      <w:bookmarkEnd w:id="1"/>
    </w:p>
  </w:footnote>
  <w:footnote w:id="4">
    <w:p w14:paraId="55C0956B" w14:textId="06422F6A" w:rsidR="000F253A" w:rsidRPr="000F253A" w:rsidRDefault="000F253A" w:rsidP="000F253A">
      <w:pPr>
        <w:pStyle w:val="FootnoteText"/>
        <w:spacing w:before="240"/>
      </w:pPr>
      <w:r>
        <w:rPr>
          <w:rStyle w:val="FootnoteReference"/>
        </w:rPr>
        <w:footnoteRef/>
      </w:r>
      <w:r>
        <w:t xml:space="preserve"> </w:t>
      </w:r>
      <w:bookmarkStart w:id="2" w:name="_Hlk132804640"/>
      <w:r>
        <w:t xml:space="preserve">Douglas Adair, </w:t>
      </w:r>
      <w:r>
        <w:rPr>
          <w:i/>
          <w:iCs/>
        </w:rPr>
        <w:t xml:space="preserve">Fame and the Founding Fathers: Essays </w:t>
      </w:r>
      <w:proofErr w:type="gramStart"/>
      <w:r>
        <w:rPr>
          <w:i/>
          <w:iCs/>
        </w:rPr>
        <w:t>By</w:t>
      </w:r>
      <w:proofErr w:type="gramEnd"/>
      <w:r>
        <w:rPr>
          <w:i/>
          <w:iCs/>
        </w:rPr>
        <w:t xml:space="preserve"> Douglass Adair</w:t>
      </w:r>
      <w:r>
        <w:t xml:space="preserve">, ed. Trevor </w:t>
      </w:r>
      <w:proofErr w:type="spellStart"/>
      <w:r>
        <w:t>Colbum</w:t>
      </w:r>
      <w:proofErr w:type="spellEnd"/>
      <w:r>
        <w:t xml:space="preserve"> New York: W. E. Norton &amp; Company, Inc., 1974).</w:t>
      </w:r>
      <w:bookmarkEnd w:id="2"/>
    </w:p>
  </w:footnote>
  <w:footnote w:id="5">
    <w:p w14:paraId="0D0E7E2F" w14:textId="7E73C6CC" w:rsidR="000F253A" w:rsidRPr="000F253A" w:rsidRDefault="000F253A">
      <w:pPr>
        <w:pStyle w:val="FootnoteText"/>
      </w:pPr>
      <w:r>
        <w:rPr>
          <w:rStyle w:val="FootnoteReference"/>
        </w:rPr>
        <w:footnoteRef/>
      </w:r>
      <w:r>
        <w:t xml:space="preserve"> </w:t>
      </w:r>
      <w:bookmarkStart w:id="3" w:name="_Hlk132804720"/>
      <w:r>
        <w:t xml:space="preserve">Garry Wills, </w:t>
      </w:r>
      <w:r>
        <w:rPr>
          <w:i/>
          <w:iCs/>
        </w:rPr>
        <w:t>Inventing America: Jefferson’s Declaration of Independence</w:t>
      </w:r>
      <w:r>
        <w:t xml:space="preserve"> (</w:t>
      </w:r>
      <w:r w:rsidR="00CD0E7D">
        <w:t>New York: Doubleday &amp; Co., 1978).</w:t>
      </w:r>
      <w:bookmarkEnd w:id="3"/>
    </w:p>
  </w:footnote>
  <w:footnote w:id="6">
    <w:p w14:paraId="41DB70CD" w14:textId="7B36FBCC" w:rsidR="00780C82" w:rsidRDefault="00780C82">
      <w:pPr>
        <w:pStyle w:val="FootnoteText"/>
      </w:pPr>
      <w:r>
        <w:rPr>
          <w:rStyle w:val="FootnoteReference"/>
        </w:rPr>
        <w:footnoteRef/>
      </w:r>
      <w:r>
        <w:t xml:space="preserve"> </w:t>
      </w:r>
      <w:r w:rsidRPr="00780C82">
        <w:t xml:space="preserve">Jefferson, Thomas. </w:t>
      </w:r>
      <w:r w:rsidRPr="00780C82">
        <w:rPr>
          <w:i/>
          <w:iCs/>
        </w:rPr>
        <w:t>The Declaration of Independence</w:t>
      </w:r>
      <w:r w:rsidRPr="00780C82">
        <w:t xml:space="preserve"> </w:t>
      </w:r>
      <w:r w:rsidR="00D96EBB">
        <w:t>(</w:t>
      </w:r>
      <w:r w:rsidRPr="00780C82">
        <w:t>1776</w:t>
      </w:r>
      <w:r w:rsidR="00D96EBB">
        <w:t>)</w:t>
      </w:r>
      <w:r w:rsidRPr="00780C82">
        <w:t>.</w:t>
      </w:r>
    </w:p>
  </w:footnote>
  <w:footnote w:id="7">
    <w:p w14:paraId="3A8A55B0" w14:textId="043A7A3A" w:rsidR="008B3BE2" w:rsidRDefault="008B3BE2">
      <w:pPr>
        <w:pStyle w:val="FootnoteText"/>
      </w:pPr>
      <w:r>
        <w:rPr>
          <w:rStyle w:val="FootnoteReference"/>
        </w:rPr>
        <w:footnoteRef/>
      </w:r>
      <w:r>
        <w:t xml:space="preserve"> Thomas Aquinas, </w:t>
      </w:r>
      <w:r>
        <w:rPr>
          <w:i/>
          <w:iCs/>
        </w:rPr>
        <w:t xml:space="preserve">Suma Theologica </w:t>
      </w:r>
      <w:r>
        <w:t>translated by Fathers of the English Dominican Province (Benziger Bros. edition, 1947), 2308.</w:t>
      </w:r>
    </w:p>
  </w:footnote>
  <w:footnote w:id="8">
    <w:p w14:paraId="74593566" w14:textId="1024C529" w:rsidR="0076436C" w:rsidRDefault="0076436C">
      <w:pPr>
        <w:pStyle w:val="FootnoteText"/>
      </w:pPr>
      <w:r>
        <w:rPr>
          <w:rStyle w:val="FootnoteReference"/>
        </w:rPr>
        <w:footnoteRef/>
      </w:r>
      <w:r>
        <w:t xml:space="preserve"> John Locke, </w:t>
      </w:r>
      <w:r>
        <w:rPr>
          <w:i/>
          <w:iCs/>
        </w:rPr>
        <w:t>An Essay concerning Human Understanding</w:t>
      </w:r>
      <w:r w:rsidR="00D96EBB">
        <w:t xml:space="preserve"> (</w:t>
      </w:r>
      <w:r w:rsidR="00D96EBB" w:rsidRPr="00D96EBB">
        <w:t>London, England: Oxford University Press, 1689</w:t>
      </w:r>
      <w:r w:rsidR="00D96EBB">
        <w:t xml:space="preserve">), </w:t>
      </w:r>
      <w:r>
        <w:t>Book II Sec.2.</w:t>
      </w:r>
    </w:p>
  </w:footnote>
  <w:footnote w:id="9">
    <w:p w14:paraId="7E82537A" w14:textId="63155DAB" w:rsidR="0076436C" w:rsidRDefault="0076436C">
      <w:pPr>
        <w:pStyle w:val="FootnoteText"/>
      </w:pPr>
      <w:r>
        <w:rPr>
          <w:rStyle w:val="FootnoteReference"/>
        </w:rPr>
        <w:footnoteRef/>
      </w:r>
      <w:r>
        <w:t xml:space="preserve"> Locke, </w:t>
      </w:r>
      <w:r>
        <w:rPr>
          <w:i/>
          <w:iCs/>
        </w:rPr>
        <w:t>Human Understanding</w:t>
      </w:r>
      <w:r>
        <w:t>, Book II Sec. 3.</w:t>
      </w:r>
    </w:p>
  </w:footnote>
  <w:footnote w:id="10">
    <w:p w14:paraId="359394B2" w14:textId="505F1483" w:rsidR="0076436C" w:rsidRDefault="0076436C">
      <w:pPr>
        <w:pStyle w:val="FootnoteText"/>
      </w:pPr>
      <w:r>
        <w:rPr>
          <w:rStyle w:val="FootnoteReference"/>
        </w:rPr>
        <w:footnoteRef/>
      </w:r>
      <w:r>
        <w:t xml:space="preserve"> Locke, </w:t>
      </w:r>
      <w:r>
        <w:rPr>
          <w:i/>
          <w:iCs/>
        </w:rPr>
        <w:t>Human Understanding</w:t>
      </w:r>
      <w:r>
        <w:t>, Book II Sec. 3.</w:t>
      </w:r>
    </w:p>
  </w:footnote>
  <w:footnote w:id="11">
    <w:p w14:paraId="138D9F42" w14:textId="7C81E964" w:rsidR="0076436C" w:rsidRDefault="0076436C">
      <w:pPr>
        <w:pStyle w:val="FootnoteText"/>
      </w:pPr>
      <w:r>
        <w:rPr>
          <w:rStyle w:val="FootnoteReference"/>
        </w:rPr>
        <w:footnoteRef/>
      </w:r>
      <w:r>
        <w:t xml:space="preserve"> Locke, </w:t>
      </w:r>
      <w:r>
        <w:rPr>
          <w:i/>
          <w:iCs/>
        </w:rPr>
        <w:t>Human Understanding</w:t>
      </w:r>
      <w:r>
        <w:t>, Book II Sec. 4.</w:t>
      </w:r>
    </w:p>
  </w:footnote>
  <w:footnote w:id="12">
    <w:p w14:paraId="525F01EE" w14:textId="012B9630" w:rsidR="0076436C" w:rsidRDefault="0076436C">
      <w:pPr>
        <w:pStyle w:val="FootnoteText"/>
      </w:pPr>
      <w:r>
        <w:rPr>
          <w:rStyle w:val="FootnoteReference"/>
        </w:rPr>
        <w:footnoteRef/>
      </w:r>
      <w:r>
        <w:t xml:space="preserve"> Locke, </w:t>
      </w:r>
      <w:r>
        <w:rPr>
          <w:i/>
          <w:iCs/>
        </w:rPr>
        <w:t>Human Understanding</w:t>
      </w:r>
      <w:r>
        <w:t>, Book II Sec. 4</w:t>
      </w:r>
    </w:p>
  </w:footnote>
  <w:footnote w:id="13">
    <w:p w14:paraId="745BC0E0" w14:textId="08C22758" w:rsidR="00D96EBB" w:rsidRPr="00D96EBB" w:rsidRDefault="0076436C" w:rsidP="00D96EBB">
      <w:pPr>
        <w:pStyle w:val="FootnoteText"/>
      </w:pPr>
      <w:r>
        <w:rPr>
          <w:rStyle w:val="FootnoteReference"/>
        </w:rPr>
        <w:footnoteRef/>
      </w:r>
      <w:r>
        <w:t xml:space="preserve"> John Locke, </w:t>
      </w:r>
      <w:r>
        <w:rPr>
          <w:i/>
          <w:iCs/>
        </w:rPr>
        <w:t>Second Treatise of Government</w:t>
      </w:r>
      <w:r>
        <w:t xml:space="preserve">, </w:t>
      </w:r>
      <w:r w:rsidR="00D96EBB">
        <w:t>ed.</w:t>
      </w:r>
      <w:r w:rsidR="00D96EBB" w:rsidRPr="00D96EBB">
        <w:t xml:space="preserve"> C. B. Macpherson</w:t>
      </w:r>
      <w:r w:rsidR="00D96EBB">
        <w:t xml:space="preserve"> (</w:t>
      </w:r>
      <w:r w:rsidR="00D96EBB" w:rsidRPr="00D96EBB">
        <w:t>Cambridge, MA: Hackett Publishing, 1980</w:t>
      </w:r>
      <w:r w:rsidR="00D96EBB">
        <w:t>),</w:t>
      </w:r>
    </w:p>
    <w:p w14:paraId="1E56C91E" w14:textId="7F033EFE" w:rsidR="0076436C" w:rsidRDefault="0076436C">
      <w:pPr>
        <w:pStyle w:val="FootnoteText"/>
      </w:pPr>
      <w:r>
        <w:t>Sec. 4.</w:t>
      </w:r>
    </w:p>
  </w:footnote>
  <w:footnote w:id="14">
    <w:p w14:paraId="3D013992" w14:textId="128FEB48" w:rsidR="00B86F66" w:rsidRDefault="00B86F66">
      <w:pPr>
        <w:pStyle w:val="FootnoteText"/>
      </w:pPr>
      <w:r>
        <w:rPr>
          <w:rStyle w:val="FootnoteReference"/>
        </w:rPr>
        <w:footnoteRef/>
      </w:r>
      <w:r>
        <w:t xml:space="preserve"> Locke, </w:t>
      </w:r>
      <w:r>
        <w:rPr>
          <w:i/>
          <w:iCs/>
        </w:rPr>
        <w:t xml:space="preserve">Second Treatise, </w:t>
      </w:r>
      <w:r>
        <w:t>Sec. 4.</w:t>
      </w:r>
    </w:p>
  </w:footnote>
  <w:footnote w:id="15">
    <w:p w14:paraId="3CD5E589" w14:textId="27F24402" w:rsidR="00B86F66" w:rsidRDefault="00B86F66">
      <w:pPr>
        <w:pStyle w:val="FootnoteText"/>
      </w:pPr>
      <w:r>
        <w:rPr>
          <w:rStyle w:val="FootnoteReference"/>
        </w:rPr>
        <w:footnoteRef/>
      </w:r>
      <w:r>
        <w:t xml:space="preserve"> Locke, </w:t>
      </w:r>
      <w:r>
        <w:rPr>
          <w:i/>
          <w:iCs/>
        </w:rPr>
        <w:t xml:space="preserve">Second Treatise, </w:t>
      </w:r>
      <w:r>
        <w:t>Sec. 7.</w:t>
      </w:r>
    </w:p>
  </w:footnote>
  <w:footnote w:id="16">
    <w:p w14:paraId="5C6F76CA" w14:textId="3641EF4A" w:rsidR="00B86F66" w:rsidRDefault="00B86F66">
      <w:pPr>
        <w:pStyle w:val="FootnoteText"/>
      </w:pPr>
      <w:r>
        <w:rPr>
          <w:rStyle w:val="FootnoteReference"/>
        </w:rPr>
        <w:footnoteRef/>
      </w:r>
      <w:r>
        <w:t xml:space="preserve"> Locke, </w:t>
      </w:r>
      <w:r>
        <w:rPr>
          <w:i/>
          <w:iCs/>
        </w:rPr>
        <w:t xml:space="preserve">Second Treatise, </w:t>
      </w:r>
      <w:r>
        <w:t>Sec. 7.</w:t>
      </w:r>
    </w:p>
  </w:footnote>
  <w:footnote w:id="17">
    <w:p w14:paraId="6ADE2623" w14:textId="1C04FB59" w:rsidR="00B86F66" w:rsidRDefault="00B86F66">
      <w:pPr>
        <w:pStyle w:val="FootnoteText"/>
      </w:pPr>
      <w:r>
        <w:rPr>
          <w:rStyle w:val="FootnoteReference"/>
        </w:rPr>
        <w:footnoteRef/>
      </w:r>
      <w:r>
        <w:t xml:space="preserve"> Locke, </w:t>
      </w:r>
      <w:r>
        <w:rPr>
          <w:i/>
          <w:iCs/>
        </w:rPr>
        <w:t>Second Treatise</w:t>
      </w:r>
      <w:r>
        <w:t>, Sec. 12.</w:t>
      </w:r>
    </w:p>
  </w:footnote>
  <w:footnote w:id="18">
    <w:p w14:paraId="0E51F90B" w14:textId="651E7589" w:rsidR="00B86F66" w:rsidRDefault="00B86F66">
      <w:pPr>
        <w:pStyle w:val="FootnoteText"/>
      </w:pPr>
      <w:r>
        <w:rPr>
          <w:rStyle w:val="FootnoteReference"/>
        </w:rPr>
        <w:footnoteRef/>
      </w:r>
      <w:r>
        <w:t xml:space="preserve"> Locke, </w:t>
      </w:r>
      <w:r>
        <w:rPr>
          <w:i/>
          <w:iCs/>
        </w:rPr>
        <w:t>Second Treatise</w:t>
      </w:r>
      <w:r>
        <w:t>, Sec. 22.</w:t>
      </w:r>
    </w:p>
  </w:footnote>
  <w:footnote w:id="19">
    <w:p w14:paraId="08C439DD" w14:textId="7850CB11" w:rsidR="00B86F66" w:rsidRDefault="00B86F66">
      <w:pPr>
        <w:pStyle w:val="FootnoteText"/>
      </w:pPr>
      <w:r>
        <w:rPr>
          <w:rStyle w:val="FootnoteReference"/>
        </w:rPr>
        <w:footnoteRef/>
      </w:r>
      <w:r>
        <w:t xml:space="preserve"> Locke, </w:t>
      </w:r>
      <w:r>
        <w:rPr>
          <w:i/>
          <w:iCs/>
        </w:rPr>
        <w:t>Second Treatise</w:t>
      </w:r>
      <w:r>
        <w:t>, Sec. 4.</w:t>
      </w:r>
    </w:p>
  </w:footnote>
  <w:footnote w:id="20">
    <w:p w14:paraId="46870BDD" w14:textId="6DAC7D99" w:rsidR="008B3BE2" w:rsidRPr="008B3BE2" w:rsidRDefault="008B3BE2">
      <w:pPr>
        <w:pStyle w:val="FootnoteText"/>
      </w:pPr>
      <w:r>
        <w:rPr>
          <w:rStyle w:val="FootnoteReference"/>
        </w:rPr>
        <w:footnoteRef/>
      </w:r>
      <w:r>
        <w:t xml:space="preserve"> Jean-Jacques Rousseau, </w:t>
      </w:r>
      <w:r>
        <w:rPr>
          <w:i/>
          <w:iCs/>
        </w:rPr>
        <w:t>The Social Contract</w:t>
      </w:r>
      <w:r>
        <w:t>, translate</w:t>
      </w:r>
      <w:r w:rsidR="00D96EBB">
        <w:t>d</w:t>
      </w:r>
      <w:r>
        <w:t xml:space="preserve"> by Jonathan Bennett </w:t>
      </w:r>
      <w:r w:rsidR="00D96EBB">
        <w:t>(C</w:t>
      </w:r>
      <w:r>
        <w:t>opyright Jonathan Bennett, 2017</w:t>
      </w:r>
      <w:r w:rsidR="00D96EBB">
        <w:t>)</w:t>
      </w:r>
      <w:r>
        <w:t>.</w:t>
      </w:r>
    </w:p>
  </w:footnote>
  <w:footnote w:id="21">
    <w:p w14:paraId="56F8117F" w14:textId="1AE53EB4" w:rsidR="004853A3" w:rsidRPr="004853A3" w:rsidRDefault="004853A3">
      <w:pPr>
        <w:pStyle w:val="FootnoteText"/>
      </w:pPr>
      <w:r>
        <w:rPr>
          <w:rStyle w:val="FootnoteReference"/>
        </w:rPr>
        <w:footnoteRef/>
      </w:r>
      <w:r>
        <w:t xml:space="preserve"> Rousseau, </w:t>
      </w:r>
      <w:r>
        <w:rPr>
          <w:i/>
          <w:iCs/>
        </w:rPr>
        <w:t>Social Contract</w:t>
      </w:r>
      <w:r>
        <w:t>, translated Jonathan Bennett.</w:t>
      </w:r>
    </w:p>
  </w:footnote>
  <w:footnote w:id="22">
    <w:p w14:paraId="29E8D0F3" w14:textId="77777777" w:rsidR="004853A3" w:rsidRPr="004853A3" w:rsidRDefault="004853A3" w:rsidP="004853A3">
      <w:pPr>
        <w:pStyle w:val="FootnoteText"/>
      </w:pPr>
      <w:r>
        <w:rPr>
          <w:rStyle w:val="FootnoteReference"/>
        </w:rPr>
        <w:footnoteRef/>
      </w:r>
      <w:r>
        <w:t xml:space="preserve"> Rousseau, </w:t>
      </w:r>
      <w:r>
        <w:rPr>
          <w:i/>
          <w:iCs/>
        </w:rPr>
        <w:t>Social Contract</w:t>
      </w:r>
      <w:r>
        <w:t>, translated Jonathan Bennett.</w:t>
      </w:r>
    </w:p>
    <w:p w14:paraId="7D44A4E6" w14:textId="63A4C6A1" w:rsidR="004853A3" w:rsidRDefault="004853A3">
      <w:pPr>
        <w:pStyle w:val="FootnoteText"/>
      </w:pPr>
    </w:p>
  </w:footnote>
  <w:footnote w:id="23">
    <w:p w14:paraId="74F3489A" w14:textId="40FCC66A" w:rsidR="004853A3" w:rsidRDefault="004853A3">
      <w:pPr>
        <w:pStyle w:val="FootnoteText"/>
      </w:pPr>
      <w:r>
        <w:rPr>
          <w:rStyle w:val="FootnoteReference"/>
        </w:rPr>
        <w:footnoteRef/>
      </w:r>
      <w:r>
        <w:t xml:space="preserve"> Rousseau, </w:t>
      </w:r>
      <w:r>
        <w:rPr>
          <w:i/>
          <w:iCs/>
        </w:rPr>
        <w:t>Social Contract</w:t>
      </w:r>
      <w:r>
        <w:t>, translated Jonathan Bennett.</w:t>
      </w:r>
    </w:p>
  </w:footnote>
  <w:footnote w:id="24">
    <w:p w14:paraId="0B8D524E" w14:textId="0A080D6D" w:rsidR="00B86F66" w:rsidRDefault="00B86F66">
      <w:pPr>
        <w:pStyle w:val="FootnoteText"/>
      </w:pPr>
      <w:r>
        <w:rPr>
          <w:rStyle w:val="FootnoteReference"/>
        </w:rPr>
        <w:footnoteRef/>
      </w:r>
      <w:r>
        <w:t xml:space="preserve"> </w:t>
      </w:r>
      <w:bookmarkStart w:id="4" w:name="_Hlk131631991"/>
      <w:r>
        <w:t xml:space="preserve">Thomas Hobbes, </w:t>
      </w:r>
      <w:r>
        <w:rPr>
          <w:i/>
          <w:iCs/>
        </w:rPr>
        <w:t xml:space="preserve">De Cive </w:t>
      </w:r>
      <w:r>
        <w:t>(1642).</w:t>
      </w:r>
    </w:p>
    <w:bookmarkEnd w:id="4"/>
  </w:footnote>
  <w:footnote w:id="25">
    <w:p w14:paraId="6A46A01C" w14:textId="4D8832C8" w:rsidR="00B86F66" w:rsidRDefault="00B86F66">
      <w:pPr>
        <w:pStyle w:val="FootnoteText"/>
      </w:pPr>
      <w:r>
        <w:rPr>
          <w:rStyle w:val="FootnoteReference"/>
        </w:rPr>
        <w:footnoteRef/>
      </w:r>
      <w:r>
        <w:t xml:space="preserve"> </w:t>
      </w:r>
      <w:bookmarkStart w:id="5" w:name="_Hlk131631950"/>
      <w:r>
        <w:t xml:space="preserve">Thomas Hobbes, </w:t>
      </w:r>
      <w:r>
        <w:rPr>
          <w:i/>
          <w:iCs/>
        </w:rPr>
        <w:t xml:space="preserve">Leviathan: Reprinted From the Edition of 1651 </w:t>
      </w:r>
      <w:r>
        <w:t>(Oxford University Press, 1909), 97.</w:t>
      </w:r>
    </w:p>
    <w:bookmarkEnd w:id="5"/>
  </w:footnote>
  <w:footnote w:id="26">
    <w:p w14:paraId="1A82DB53" w14:textId="55FDA350" w:rsidR="00B86F66" w:rsidRDefault="00B86F66">
      <w:pPr>
        <w:pStyle w:val="FootnoteText"/>
      </w:pPr>
      <w:r>
        <w:rPr>
          <w:rStyle w:val="FootnoteReference"/>
        </w:rPr>
        <w:footnoteRef/>
      </w:r>
      <w:r>
        <w:t xml:space="preserve"> Hobbes, </w:t>
      </w:r>
      <w:r>
        <w:rPr>
          <w:i/>
          <w:iCs/>
        </w:rPr>
        <w:t>Leviathan</w:t>
      </w:r>
      <w:r>
        <w:t>, 121.</w:t>
      </w:r>
    </w:p>
  </w:footnote>
  <w:footnote w:id="27">
    <w:p w14:paraId="29A8036F" w14:textId="269EB088" w:rsidR="00AE15E3" w:rsidRPr="00AE15E3" w:rsidRDefault="00AE15E3">
      <w:pPr>
        <w:pStyle w:val="FootnoteText"/>
      </w:pPr>
      <w:r>
        <w:rPr>
          <w:rStyle w:val="FootnoteReference"/>
        </w:rPr>
        <w:footnoteRef/>
      </w:r>
      <w:r>
        <w:t xml:space="preserve"> </w:t>
      </w:r>
      <w:r>
        <w:rPr>
          <w:i/>
          <w:iCs/>
        </w:rPr>
        <w:t>Declarations Resources Project</w:t>
      </w:r>
      <w:r>
        <w:t xml:space="preserve"> </w:t>
      </w:r>
      <w:r w:rsidR="00D96EBB">
        <w:t>(</w:t>
      </w:r>
      <w:r>
        <w:t>Harvard University</w:t>
      </w:r>
      <w:r w:rsidR="00D96EBB">
        <w:t>)</w:t>
      </w:r>
      <w:r>
        <w:t xml:space="preserve">, </w:t>
      </w:r>
      <w:r w:rsidRPr="00AE15E3">
        <w:t>https://declaration.fas.harvard.edu/faq/how-many-grievances-are-declaration-independence#:~:text=A%20grievance%20is%20defined%20by,He%22%20is%20King%20George%20III.</w:t>
      </w:r>
    </w:p>
  </w:footnote>
  <w:footnote w:id="28">
    <w:p w14:paraId="042AC215" w14:textId="5FB0E8BC" w:rsidR="004853A3" w:rsidRDefault="004853A3">
      <w:pPr>
        <w:pStyle w:val="FootnoteText"/>
      </w:pPr>
      <w:r>
        <w:rPr>
          <w:rStyle w:val="FootnoteReference"/>
        </w:rPr>
        <w:footnoteRef/>
      </w:r>
      <w:r>
        <w:t xml:space="preserve"> </w:t>
      </w:r>
      <w:r w:rsidRPr="004853A3">
        <w:rPr>
          <w:i/>
          <w:iCs/>
        </w:rPr>
        <w:t>An Act Concerning Aliens, July 6, 1798</w:t>
      </w:r>
      <w:r w:rsidR="00D96EBB">
        <w:rPr>
          <w:i/>
          <w:iCs/>
        </w:rPr>
        <w:t xml:space="preserve"> </w:t>
      </w:r>
      <w:r w:rsidR="00D96EBB">
        <w:t>(</w:t>
      </w:r>
      <w:r w:rsidRPr="004853A3">
        <w:t>Fifth Congress; Enrolled Acts and Resolutions; General Records of the United States Government; Record Group 11; National Archives</w:t>
      </w:r>
      <w:r w:rsidR="00D96EBB">
        <w:t>)</w:t>
      </w:r>
    </w:p>
  </w:footnote>
  <w:footnote w:id="29">
    <w:p w14:paraId="3C312EDC" w14:textId="06F4E9B5" w:rsidR="002E2F06" w:rsidRPr="002E2F06" w:rsidRDefault="002E2F06">
      <w:pPr>
        <w:pStyle w:val="FootnoteText"/>
      </w:pPr>
      <w:r>
        <w:rPr>
          <w:rStyle w:val="FootnoteReference"/>
        </w:rPr>
        <w:footnoteRef/>
      </w:r>
      <w:r>
        <w:t xml:space="preserve"> </w:t>
      </w:r>
      <w:r>
        <w:rPr>
          <w:i/>
          <w:iCs/>
        </w:rPr>
        <w:t>An Act Respecting Alien Enemies</w:t>
      </w:r>
      <w:r>
        <w:t xml:space="preserve"> </w:t>
      </w:r>
      <w:r w:rsidR="00D96EBB">
        <w:t>(</w:t>
      </w:r>
      <w:r>
        <w:t>Fifth Congress, United States Government</w:t>
      </w:r>
      <w:r w:rsidR="00D96EBB">
        <w:t xml:space="preserve">), </w:t>
      </w:r>
      <w:r w:rsidRPr="002E2F06">
        <w:t>https://web.archive.org/web/20161220094337/http://library.uwb.edu/static/USimmigration/1%20stat%20577.pdf</w:t>
      </w:r>
    </w:p>
  </w:footnote>
  <w:footnote w:id="30">
    <w:p w14:paraId="0F49A93F" w14:textId="775F1FDC" w:rsidR="00EA77C4" w:rsidRPr="00EA77C4" w:rsidRDefault="00EA77C4">
      <w:pPr>
        <w:pStyle w:val="FootnoteText"/>
      </w:pPr>
      <w:r>
        <w:rPr>
          <w:rStyle w:val="FootnoteReference"/>
        </w:rPr>
        <w:footnoteRef/>
      </w:r>
      <w:r>
        <w:t xml:space="preserve"> </w:t>
      </w:r>
      <w:r>
        <w:rPr>
          <w:i/>
          <w:iCs/>
        </w:rPr>
        <w:t>Artl.S8.C4.1.2.3 Early U.S. Naturalization Laws</w:t>
      </w:r>
      <w:r>
        <w:t xml:space="preserve">, Constitution Annotated, </w:t>
      </w:r>
      <w:r w:rsidRPr="00EA77C4">
        <w:t>https://constitution.congress.gov/browse/essay/artI-S8-C4-1-2-3/ALDE_00013163/#ALDF_00019939</w:t>
      </w:r>
    </w:p>
  </w:footnote>
  <w:footnote w:id="31">
    <w:p w14:paraId="37407F10" w14:textId="14BD75C2" w:rsidR="00EA77C4" w:rsidRDefault="00EA77C4">
      <w:pPr>
        <w:pStyle w:val="FootnoteText"/>
      </w:pPr>
      <w:r>
        <w:rPr>
          <w:rStyle w:val="FootnoteReference"/>
        </w:rPr>
        <w:footnoteRef/>
      </w:r>
      <w:r>
        <w:t xml:space="preserve"> </w:t>
      </w:r>
      <w:r>
        <w:rPr>
          <w:i/>
          <w:iCs/>
        </w:rPr>
        <w:t>Artl.S8.C4.1.2.3 Early U.S. Naturalization Laws</w:t>
      </w:r>
      <w:r>
        <w:t xml:space="preserve">, Constitution Annotated, </w:t>
      </w:r>
      <w:r w:rsidRPr="00EA77C4">
        <w:t>https://constitution.congress.gov/browse/essay/artI-S8-C4-1-2-3/ALDE_00013163/#ALDF_00019939</w:t>
      </w:r>
    </w:p>
  </w:footnote>
  <w:footnote w:id="32">
    <w:p w14:paraId="230A4C3A" w14:textId="1152B05A" w:rsidR="00EA77C4" w:rsidRDefault="00EA77C4">
      <w:pPr>
        <w:pStyle w:val="FootnoteText"/>
      </w:pPr>
      <w:r>
        <w:rPr>
          <w:rStyle w:val="FootnoteReference"/>
        </w:rPr>
        <w:footnoteRef/>
      </w:r>
      <w:r>
        <w:t xml:space="preserve"> </w:t>
      </w:r>
      <w:r>
        <w:rPr>
          <w:i/>
          <w:iCs/>
        </w:rPr>
        <w:t>Artl.S8.C4.1.2.3 Early U.S. Naturalization Laws</w:t>
      </w:r>
      <w:r>
        <w:t xml:space="preserve">, Constitution Annotated, </w:t>
      </w:r>
      <w:r w:rsidRPr="00EA77C4">
        <w:t>https://constitution.congress.gov/browse/essay/artI-S8-C4-1-2-3/ALDE_00013163/#ALDF_00019939</w:t>
      </w:r>
    </w:p>
  </w:footnote>
  <w:footnote w:id="33">
    <w:p w14:paraId="74CC32CC" w14:textId="7935F5CE" w:rsidR="00EA77C4" w:rsidRDefault="00EA77C4">
      <w:pPr>
        <w:pStyle w:val="FootnoteText"/>
      </w:pPr>
      <w:r>
        <w:rPr>
          <w:rStyle w:val="FootnoteReference"/>
        </w:rPr>
        <w:footnoteRef/>
      </w:r>
      <w:r>
        <w:t xml:space="preserve"> Locke, </w:t>
      </w:r>
      <w:r>
        <w:rPr>
          <w:i/>
          <w:iCs/>
        </w:rPr>
        <w:t>Second Treatise</w:t>
      </w:r>
      <w:r>
        <w:t>, Sec. 4.</w:t>
      </w:r>
    </w:p>
  </w:footnote>
  <w:footnote w:id="34">
    <w:p w14:paraId="7DAC1B53" w14:textId="7F0AA6AA" w:rsidR="00EA77C4" w:rsidRDefault="00EA77C4">
      <w:pPr>
        <w:pStyle w:val="FootnoteText"/>
      </w:pPr>
      <w:r>
        <w:rPr>
          <w:rStyle w:val="FootnoteReference"/>
        </w:rPr>
        <w:footnoteRef/>
      </w:r>
      <w:r>
        <w:t xml:space="preserve"> </w:t>
      </w:r>
      <w:r w:rsidRPr="004853A3">
        <w:rPr>
          <w:i/>
          <w:iCs/>
        </w:rPr>
        <w:t>An Act Concerning Aliens, July 6, 1798</w:t>
      </w:r>
      <w:r w:rsidRPr="004853A3">
        <w:t xml:space="preserve"> </w:t>
      </w:r>
      <w:r w:rsidR="00D96EBB">
        <w:t>(</w:t>
      </w:r>
      <w:r w:rsidRPr="004853A3">
        <w:t>Fifth Congress; Enrolled Acts and Resolutions; General Records of the United States Government; Record Group 11; National Archives</w:t>
      </w:r>
      <w:r w:rsidR="00D96EBB">
        <w:t>)</w:t>
      </w:r>
    </w:p>
  </w:footnote>
  <w:footnote w:id="35">
    <w:p w14:paraId="6C97684A" w14:textId="1B75B1C1" w:rsidR="00EA77C4" w:rsidRPr="00EA77C4" w:rsidRDefault="00EA77C4">
      <w:pPr>
        <w:pStyle w:val="FootnoteText"/>
      </w:pPr>
      <w:r>
        <w:rPr>
          <w:rStyle w:val="FootnoteReference"/>
        </w:rPr>
        <w:footnoteRef/>
      </w:r>
      <w:r>
        <w:t xml:space="preserve"> </w:t>
      </w:r>
      <w:r w:rsidR="00B61BE5">
        <w:rPr>
          <w:i/>
          <w:iCs/>
        </w:rPr>
        <w:t>To James Madison From Thomas Jefferson, 3 November 1798</w:t>
      </w:r>
      <w:r w:rsidR="00D96EBB">
        <w:t xml:space="preserve"> (</w:t>
      </w:r>
      <w:r w:rsidR="00B61BE5">
        <w:t>National Archives</w:t>
      </w:r>
      <w:r w:rsidR="00D96EBB">
        <w:t>),</w:t>
      </w:r>
      <w:r w:rsidR="00B61BE5">
        <w:t xml:space="preserve"> </w:t>
      </w:r>
      <w:r>
        <w:t xml:space="preserve"> </w:t>
      </w:r>
      <w:hyperlink r:id="rId1" w:history="1">
        <w:r w:rsidR="00B61BE5" w:rsidRPr="00B61BE5">
          <w:rPr>
            <w:rStyle w:val="Hyperlink"/>
          </w:rPr>
          <w:t>https://founders.archives.gov/documents/Madison/01-17-02-0119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FD47" w14:textId="0517422A" w:rsidR="00D00DFC" w:rsidRDefault="00000000" w:rsidP="00D00DFC">
    <w:pPr>
      <w:pStyle w:val="Header"/>
    </w:pPr>
    <w:sdt>
      <w:sdtPr>
        <w:id w:val="522748074"/>
        <w:docPartObj>
          <w:docPartGallery w:val="Page Numbers (Top of Page)"/>
          <w:docPartUnique/>
        </w:docPartObj>
      </w:sdtPr>
      <w:sdtEndPr>
        <w:rPr>
          <w:noProof/>
        </w:rPr>
      </w:sdtEndPr>
      <w:sdtContent>
        <w:r w:rsidR="00D00DFC">
          <w:fldChar w:fldCharType="begin"/>
        </w:r>
        <w:r w:rsidR="00D00DFC">
          <w:instrText xml:space="preserve"> PAGE   \* MERGEFORMAT </w:instrText>
        </w:r>
        <w:r w:rsidR="00D00DFC">
          <w:fldChar w:fldCharType="separate"/>
        </w:r>
        <w:r w:rsidR="00D00DFC">
          <w:rPr>
            <w:noProof/>
          </w:rPr>
          <w:t>2</w:t>
        </w:r>
        <w:r w:rsidR="00D00DFC">
          <w:rPr>
            <w:noProof/>
          </w:rPr>
          <w:fldChar w:fldCharType="end"/>
        </w:r>
      </w:sdtContent>
    </w:sdt>
    <w:r w:rsidR="00D00DFC">
      <w:rPr>
        <w:noProof/>
      </w:rPr>
      <w:tab/>
      <w:t>Natural Law’s Response to Adam’s Alien &amp; Sedition Acts</w:t>
    </w:r>
    <w:r w:rsidR="00D00DFC">
      <w:rPr>
        <w:noProof/>
      </w:rPr>
      <w:tab/>
      <w:t>Trey Coleman</w:t>
    </w:r>
  </w:p>
  <w:p w14:paraId="34ACE1BC" w14:textId="1EC44CA4" w:rsidR="007001BE" w:rsidRDefault="00700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9B6DB1-FD73-4DA0-8577-86F07F2E905D}"/>
    <w:docVar w:name="dgnword-eventsink" w:val="2125009526752"/>
  </w:docVars>
  <w:rsids>
    <w:rsidRoot w:val="002D7A4E"/>
    <w:rsid w:val="0001795C"/>
    <w:rsid w:val="00040DC9"/>
    <w:rsid w:val="00060D58"/>
    <w:rsid w:val="000A2C3F"/>
    <w:rsid w:val="000C2100"/>
    <w:rsid w:val="000C257B"/>
    <w:rsid w:val="000D1AF4"/>
    <w:rsid w:val="000F117C"/>
    <w:rsid w:val="000F253A"/>
    <w:rsid w:val="00192CDC"/>
    <w:rsid w:val="00197FE8"/>
    <w:rsid w:val="001B072B"/>
    <w:rsid w:val="001F74C5"/>
    <w:rsid w:val="0022435E"/>
    <w:rsid w:val="00235D08"/>
    <w:rsid w:val="00262054"/>
    <w:rsid w:val="00282709"/>
    <w:rsid w:val="002C143E"/>
    <w:rsid w:val="002D254D"/>
    <w:rsid w:val="002D2E2A"/>
    <w:rsid w:val="002D7A4E"/>
    <w:rsid w:val="002E2F06"/>
    <w:rsid w:val="0030621E"/>
    <w:rsid w:val="00363EEC"/>
    <w:rsid w:val="003C2605"/>
    <w:rsid w:val="00412440"/>
    <w:rsid w:val="00455A6E"/>
    <w:rsid w:val="004853A3"/>
    <w:rsid w:val="0049058D"/>
    <w:rsid w:val="005C3FB2"/>
    <w:rsid w:val="005F58DD"/>
    <w:rsid w:val="00607383"/>
    <w:rsid w:val="00630849"/>
    <w:rsid w:val="0065266D"/>
    <w:rsid w:val="0065794D"/>
    <w:rsid w:val="00675169"/>
    <w:rsid w:val="006D4F82"/>
    <w:rsid w:val="006F5FFC"/>
    <w:rsid w:val="007001BE"/>
    <w:rsid w:val="0074163D"/>
    <w:rsid w:val="00755BC3"/>
    <w:rsid w:val="0076436C"/>
    <w:rsid w:val="0077131F"/>
    <w:rsid w:val="00780C82"/>
    <w:rsid w:val="007C7EDB"/>
    <w:rsid w:val="007F7244"/>
    <w:rsid w:val="00826C01"/>
    <w:rsid w:val="00865704"/>
    <w:rsid w:val="00874881"/>
    <w:rsid w:val="008A3633"/>
    <w:rsid w:val="008B3BE2"/>
    <w:rsid w:val="008B59DC"/>
    <w:rsid w:val="00914DED"/>
    <w:rsid w:val="00927D33"/>
    <w:rsid w:val="00944866"/>
    <w:rsid w:val="00974287"/>
    <w:rsid w:val="00981EBA"/>
    <w:rsid w:val="009C0B8A"/>
    <w:rsid w:val="009C3D71"/>
    <w:rsid w:val="009C5B50"/>
    <w:rsid w:val="00A65514"/>
    <w:rsid w:val="00A803B4"/>
    <w:rsid w:val="00AD590C"/>
    <w:rsid w:val="00AE15E3"/>
    <w:rsid w:val="00B07687"/>
    <w:rsid w:val="00B36D36"/>
    <w:rsid w:val="00B40E39"/>
    <w:rsid w:val="00B543B6"/>
    <w:rsid w:val="00B61BE5"/>
    <w:rsid w:val="00B73382"/>
    <w:rsid w:val="00B86F66"/>
    <w:rsid w:val="00BA65DF"/>
    <w:rsid w:val="00BA6896"/>
    <w:rsid w:val="00BF5804"/>
    <w:rsid w:val="00CC2211"/>
    <w:rsid w:val="00CD0E7D"/>
    <w:rsid w:val="00CE7F3A"/>
    <w:rsid w:val="00CF496E"/>
    <w:rsid w:val="00D00DFC"/>
    <w:rsid w:val="00D2367B"/>
    <w:rsid w:val="00D46306"/>
    <w:rsid w:val="00D46A22"/>
    <w:rsid w:val="00D652A9"/>
    <w:rsid w:val="00D662C9"/>
    <w:rsid w:val="00D8600C"/>
    <w:rsid w:val="00D96EBB"/>
    <w:rsid w:val="00DB1B29"/>
    <w:rsid w:val="00DC6F47"/>
    <w:rsid w:val="00DE2DEA"/>
    <w:rsid w:val="00E761C2"/>
    <w:rsid w:val="00EA77C4"/>
    <w:rsid w:val="00ED61B8"/>
    <w:rsid w:val="00F21943"/>
    <w:rsid w:val="00F327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72CB"/>
  <w15:chartTrackingRefBased/>
  <w15:docId w15:val="{2E5FA79B-0BDA-48BD-A9BF-B1A2D925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62C9"/>
    <w:rPr>
      <w:sz w:val="20"/>
      <w:szCs w:val="20"/>
    </w:rPr>
  </w:style>
  <w:style w:type="character" w:customStyle="1" w:styleId="FootnoteTextChar">
    <w:name w:val="Footnote Text Char"/>
    <w:basedOn w:val="DefaultParagraphFont"/>
    <w:link w:val="FootnoteText"/>
    <w:uiPriority w:val="99"/>
    <w:semiHidden/>
    <w:rsid w:val="00D662C9"/>
    <w:rPr>
      <w:sz w:val="20"/>
      <w:szCs w:val="20"/>
    </w:rPr>
  </w:style>
  <w:style w:type="character" w:styleId="FootnoteReference">
    <w:name w:val="footnote reference"/>
    <w:basedOn w:val="DefaultParagraphFont"/>
    <w:uiPriority w:val="99"/>
    <w:semiHidden/>
    <w:unhideWhenUsed/>
    <w:rsid w:val="00D662C9"/>
    <w:rPr>
      <w:vertAlign w:val="superscript"/>
    </w:rPr>
  </w:style>
  <w:style w:type="character" w:styleId="Hyperlink">
    <w:name w:val="Hyperlink"/>
    <w:basedOn w:val="DefaultParagraphFont"/>
    <w:uiPriority w:val="99"/>
    <w:unhideWhenUsed/>
    <w:rsid w:val="00B61BE5"/>
    <w:rPr>
      <w:color w:val="0563C1" w:themeColor="hyperlink"/>
      <w:u w:val="single"/>
    </w:rPr>
  </w:style>
  <w:style w:type="character" w:styleId="UnresolvedMention">
    <w:name w:val="Unresolved Mention"/>
    <w:basedOn w:val="DefaultParagraphFont"/>
    <w:uiPriority w:val="99"/>
    <w:semiHidden/>
    <w:unhideWhenUsed/>
    <w:rsid w:val="00B61BE5"/>
    <w:rPr>
      <w:color w:val="605E5C"/>
      <w:shd w:val="clear" w:color="auto" w:fill="E1DFDD"/>
    </w:rPr>
  </w:style>
  <w:style w:type="paragraph" w:styleId="Header">
    <w:name w:val="header"/>
    <w:basedOn w:val="Normal"/>
    <w:link w:val="HeaderChar"/>
    <w:uiPriority w:val="99"/>
    <w:unhideWhenUsed/>
    <w:rsid w:val="007001BE"/>
    <w:pPr>
      <w:tabs>
        <w:tab w:val="center" w:pos="4680"/>
        <w:tab w:val="right" w:pos="9360"/>
      </w:tabs>
    </w:pPr>
  </w:style>
  <w:style w:type="character" w:customStyle="1" w:styleId="HeaderChar">
    <w:name w:val="Header Char"/>
    <w:basedOn w:val="DefaultParagraphFont"/>
    <w:link w:val="Header"/>
    <w:uiPriority w:val="99"/>
    <w:rsid w:val="007001BE"/>
  </w:style>
  <w:style w:type="paragraph" w:styleId="Footer">
    <w:name w:val="footer"/>
    <w:basedOn w:val="Normal"/>
    <w:link w:val="FooterChar"/>
    <w:uiPriority w:val="99"/>
    <w:unhideWhenUsed/>
    <w:rsid w:val="007001BE"/>
    <w:pPr>
      <w:tabs>
        <w:tab w:val="center" w:pos="4680"/>
        <w:tab w:val="right" w:pos="9360"/>
      </w:tabs>
    </w:pPr>
  </w:style>
  <w:style w:type="character" w:customStyle="1" w:styleId="FooterChar">
    <w:name w:val="Footer Char"/>
    <w:basedOn w:val="DefaultParagraphFont"/>
    <w:link w:val="Footer"/>
    <w:uiPriority w:val="99"/>
    <w:rsid w:val="007001BE"/>
  </w:style>
  <w:style w:type="paragraph" w:styleId="NormalWeb">
    <w:name w:val="Normal (Web)"/>
    <w:basedOn w:val="Normal"/>
    <w:uiPriority w:val="99"/>
    <w:semiHidden/>
    <w:unhideWhenUsed/>
    <w:rsid w:val="00B543B6"/>
  </w:style>
  <w:style w:type="character" w:styleId="PlaceholderText">
    <w:name w:val="Placeholder Text"/>
    <w:basedOn w:val="DefaultParagraphFont"/>
    <w:uiPriority w:val="99"/>
    <w:semiHidden/>
    <w:rsid w:val="00040D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3220">
      <w:bodyDiv w:val="1"/>
      <w:marLeft w:val="0"/>
      <w:marRight w:val="0"/>
      <w:marTop w:val="0"/>
      <w:marBottom w:val="0"/>
      <w:divBdr>
        <w:top w:val="none" w:sz="0" w:space="0" w:color="auto"/>
        <w:left w:val="none" w:sz="0" w:space="0" w:color="auto"/>
        <w:bottom w:val="none" w:sz="0" w:space="0" w:color="auto"/>
        <w:right w:val="none" w:sz="0" w:space="0" w:color="auto"/>
      </w:divBdr>
    </w:div>
    <w:div w:id="191723423">
      <w:bodyDiv w:val="1"/>
      <w:marLeft w:val="0"/>
      <w:marRight w:val="0"/>
      <w:marTop w:val="0"/>
      <w:marBottom w:val="0"/>
      <w:divBdr>
        <w:top w:val="none" w:sz="0" w:space="0" w:color="auto"/>
        <w:left w:val="none" w:sz="0" w:space="0" w:color="auto"/>
        <w:bottom w:val="none" w:sz="0" w:space="0" w:color="auto"/>
        <w:right w:val="none" w:sz="0" w:space="0" w:color="auto"/>
      </w:divBdr>
    </w:div>
    <w:div w:id="306931967">
      <w:bodyDiv w:val="1"/>
      <w:marLeft w:val="0"/>
      <w:marRight w:val="0"/>
      <w:marTop w:val="0"/>
      <w:marBottom w:val="0"/>
      <w:divBdr>
        <w:top w:val="none" w:sz="0" w:space="0" w:color="auto"/>
        <w:left w:val="none" w:sz="0" w:space="0" w:color="auto"/>
        <w:bottom w:val="none" w:sz="0" w:space="0" w:color="auto"/>
        <w:right w:val="none" w:sz="0" w:space="0" w:color="auto"/>
      </w:divBdr>
    </w:div>
    <w:div w:id="434519982">
      <w:bodyDiv w:val="1"/>
      <w:marLeft w:val="0"/>
      <w:marRight w:val="0"/>
      <w:marTop w:val="0"/>
      <w:marBottom w:val="0"/>
      <w:divBdr>
        <w:top w:val="none" w:sz="0" w:space="0" w:color="auto"/>
        <w:left w:val="none" w:sz="0" w:space="0" w:color="auto"/>
        <w:bottom w:val="none" w:sz="0" w:space="0" w:color="auto"/>
        <w:right w:val="none" w:sz="0" w:space="0" w:color="auto"/>
      </w:divBdr>
    </w:div>
    <w:div w:id="925772179">
      <w:bodyDiv w:val="1"/>
      <w:marLeft w:val="0"/>
      <w:marRight w:val="0"/>
      <w:marTop w:val="0"/>
      <w:marBottom w:val="0"/>
      <w:divBdr>
        <w:top w:val="none" w:sz="0" w:space="0" w:color="auto"/>
        <w:left w:val="none" w:sz="0" w:space="0" w:color="auto"/>
        <w:bottom w:val="none" w:sz="0" w:space="0" w:color="auto"/>
        <w:right w:val="none" w:sz="0" w:space="0" w:color="auto"/>
      </w:divBdr>
    </w:div>
    <w:div w:id="943345348">
      <w:bodyDiv w:val="1"/>
      <w:marLeft w:val="0"/>
      <w:marRight w:val="0"/>
      <w:marTop w:val="0"/>
      <w:marBottom w:val="0"/>
      <w:divBdr>
        <w:top w:val="none" w:sz="0" w:space="0" w:color="auto"/>
        <w:left w:val="none" w:sz="0" w:space="0" w:color="auto"/>
        <w:bottom w:val="none" w:sz="0" w:space="0" w:color="auto"/>
        <w:right w:val="none" w:sz="0" w:space="0" w:color="auto"/>
      </w:divBdr>
    </w:div>
    <w:div w:id="991833271">
      <w:bodyDiv w:val="1"/>
      <w:marLeft w:val="0"/>
      <w:marRight w:val="0"/>
      <w:marTop w:val="0"/>
      <w:marBottom w:val="0"/>
      <w:divBdr>
        <w:top w:val="none" w:sz="0" w:space="0" w:color="auto"/>
        <w:left w:val="none" w:sz="0" w:space="0" w:color="auto"/>
        <w:bottom w:val="none" w:sz="0" w:space="0" w:color="auto"/>
        <w:right w:val="none" w:sz="0" w:space="0" w:color="auto"/>
      </w:divBdr>
    </w:div>
    <w:div w:id="1043211152">
      <w:bodyDiv w:val="1"/>
      <w:marLeft w:val="0"/>
      <w:marRight w:val="0"/>
      <w:marTop w:val="0"/>
      <w:marBottom w:val="0"/>
      <w:divBdr>
        <w:top w:val="none" w:sz="0" w:space="0" w:color="auto"/>
        <w:left w:val="none" w:sz="0" w:space="0" w:color="auto"/>
        <w:bottom w:val="none" w:sz="0" w:space="0" w:color="auto"/>
        <w:right w:val="none" w:sz="0" w:space="0" w:color="auto"/>
      </w:divBdr>
      <w:divsChild>
        <w:div w:id="948241236">
          <w:marLeft w:val="0"/>
          <w:marRight w:val="0"/>
          <w:marTop w:val="0"/>
          <w:marBottom w:val="0"/>
          <w:divBdr>
            <w:top w:val="none" w:sz="0" w:space="0" w:color="auto"/>
            <w:left w:val="none" w:sz="0" w:space="0" w:color="auto"/>
            <w:bottom w:val="none" w:sz="0" w:space="0" w:color="auto"/>
            <w:right w:val="none" w:sz="0" w:space="0" w:color="auto"/>
          </w:divBdr>
          <w:divsChild>
            <w:div w:id="19645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9537">
      <w:bodyDiv w:val="1"/>
      <w:marLeft w:val="0"/>
      <w:marRight w:val="0"/>
      <w:marTop w:val="0"/>
      <w:marBottom w:val="0"/>
      <w:divBdr>
        <w:top w:val="none" w:sz="0" w:space="0" w:color="auto"/>
        <w:left w:val="none" w:sz="0" w:space="0" w:color="auto"/>
        <w:bottom w:val="none" w:sz="0" w:space="0" w:color="auto"/>
        <w:right w:val="none" w:sz="0" w:space="0" w:color="auto"/>
      </w:divBdr>
    </w:div>
    <w:div w:id="1123770903">
      <w:bodyDiv w:val="1"/>
      <w:marLeft w:val="0"/>
      <w:marRight w:val="0"/>
      <w:marTop w:val="0"/>
      <w:marBottom w:val="0"/>
      <w:divBdr>
        <w:top w:val="none" w:sz="0" w:space="0" w:color="auto"/>
        <w:left w:val="none" w:sz="0" w:space="0" w:color="auto"/>
        <w:bottom w:val="none" w:sz="0" w:space="0" w:color="auto"/>
        <w:right w:val="none" w:sz="0" w:space="0" w:color="auto"/>
      </w:divBdr>
    </w:div>
    <w:div w:id="1393771927">
      <w:bodyDiv w:val="1"/>
      <w:marLeft w:val="0"/>
      <w:marRight w:val="0"/>
      <w:marTop w:val="0"/>
      <w:marBottom w:val="0"/>
      <w:divBdr>
        <w:top w:val="none" w:sz="0" w:space="0" w:color="auto"/>
        <w:left w:val="none" w:sz="0" w:space="0" w:color="auto"/>
        <w:bottom w:val="none" w:sz="0" w:space="0" w:color="auto"/>
        <w:right w:val="none" w:sz="0" w:space="0" w:color="auto"/>
      </w:divBdr>
    </w:div>
    <w:div w:id="1541745333">
      <w:bodyDiv w:val="1"/>
      <w:marLeft w:val="0"/>
      <w:marRight w:val="0"/>
      <w:marTop w:val="0"/>
      <w:marBottom w:val="0"/>
      <w:divBdr>
        <w:top w:val="none" w:sz="0" w:space="0" w:color="auto"/>
        <w:left w:val="none" w:sz="0" w:space="0" w:color="auto"/>
        <w:bottom w:val="none" w:sz="0" w:space="0" w:color="auto"/>
        <w:right w:val="none" w:sz="0" w:space="0" w:color="auto"/>
      </w:divBdr>
    </w:div>
    <w:div w:id="1545827408">
      <w:bodyDiv w:val="1"/>
      <w:marLeft w:val="0"/>
      <w:marRight w:val="0"/>
      <w:marTop w:val="0"/>
      <w:marBottom w:val="0"/>
      <w:divBdr>
        <w:top w:val="none" w:sz="0" w:space="0" w:color="auto"/>
        <w:left w:val="none" w:sz="0" w:space="0" w:color="auto"/>
        <w:bottom w:val="none" w:sz="0" w:space="0" w:color="auto"/>
        <w:right w:val="none" w:sz="0" w:space="0" w:color="auto"/>
      </w:divBdr>
    </w:div>
    <w:div w:id="1630353815">
      <w:bodyDiv w:val="1"/>
      <w:marLeft w:val="0"/>
      <w:marRight w:val="0"/>
      <w:marTop w:val="0"/>
      <w:marBottom w:val="0"/>
      <w:divBdr>
        <w:top w:val="none" w:sz="0" w:space="0" w:color="auto"/>
        <w:left w:val="none" w:sz="0" w:space="0" w:color="auto"/>
        <w:bottom w:val="none" w:sz="0" w:space="0" w:color="auto"/>
        <w:right w:val="none" w:sz="0" w:space="0" w:color="auto"/>
      </w:divBdr>
    </w:div>
    <w:div w:id="1642879152">
      <w:bodyDiv w:val="1"/>
      <w:marLeft w:val="0"/>
      <w:marRight w:val="0"/>
      <w:marTop w:val="0"/>
      <w:marBottom w:val="0"/>
      <w:divBdr>
        <w:top w:val="none" w:sz="0" w:space="0" w:color="auto"/>
        <w:left w:val="none" w:sz="0" w:space="0" w:color="auto"/>
        <w:bottom w:val="none" w:sz="0" w:space="0" w:color="auto"/>
        <w:right w:val="none" w:sz="0" w:space="0" w:color="auto"/>
      </w:divBdr>
    </w:div>
    <w:div w:id="1680237428">
      <w:bodyDiv w:val="1"/>
      <w:marLeft w:val="0"/>
      <w:marRight w:val="0"/>
      <w:marTop w:val="0"/>
      <w:marBottom w:val="0"/>
      <w:divBdr>
        <w:top w:val="none" w:sz="0" w:space="0" w:color="auto"/>
        <w:left w:val="none" w:sz="0" w:space="0" w:color="auto"/>
        <w:bottom w:val="none" w:sz="0" w:space="0" w:color="auto"/>
        <w:right w:val="none" w:sz="0" w:space="0" w:color="auto"/>
      </w:divBdr>
    </w:div>
    <w:div w:id="1740596470">
      <w:bodyDiv w:val="1"/>
      <w:marLeft w:val="0"/>
      <w:marRight w:val="0"/>
      <w:marTop w:val="0"/>
      <w:marBottom w:val="0"/>
      <w:divBdr>
        <w:top w:val="none" w:sz="0" w:space="0" w:color="auto"/>
        <w:left w:val="none" w:sz="0" w:space="0" w:color="auto"/>
        <w:bottom w:val="none" w:sz="0" w:space="0" w:color="auto"/>
        <w:right w:val="none" w:sz="0" w:space="0" w:color="auto"/>
      </w:divBdr>
    </w:div>
    <w:div w:id="1750494555">
      <w:bodyDiv w:val="1"/>
      <w:marLeft w:val="0"/>
      <w:marRight w:val="0"/>
      <w:marTop w:val="0"/>
      <w:marBottom w:val="0"/>
      <w:divBdr>
        <w:top w:val="none" w:sz="0" w:space="0" w:color="auto"/>
        <w:left w:val="none" w:sz="0" w:space="0" w:color="auto"/>
        <w:bottom w:val="none" w:sz="0" w:space="0" w:color="auto"/>
        <w:right w:val="none" w:sz="0" w:space="0" w:color="auto"/>
      </w:divBdr>
    </w:div>
    <w:div w:id="18267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tion.fas.harvard.edu/faq/how-man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stitution.congress.gov/browse/essay/artI-S8-C4-1-2-3/ALDE_00013163/#ALDF_000199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unders.archives.gov/documents/Madison/01-17-02-0119" TargetMode="External"/><Relationship Id="rId4" Type="http://schemas.openxmlformats.org/officeDocument/2006/relationships/webSettings" Target="webSettings.xml"/><Relationship Id="rId9" Type="http://schemas.openxmlformats.org/officeDocument/2006/relationships/hyperlink" Target="https://www.masshist.org/database/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unders.archives.gov/documents/Madison/01-17-02-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F9318A-F8FB-4BE2-8C6C-22A713B3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Natural Law’s Response to Adams’ Alien and Sedition Acts</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Law’s Response to Adams’ Alien and Sedition Acts</dc:title>
  <dc:subject/>
  <dc:creator>Trey Coleman</dc:creator>
  <cp:keywords/>
  <dc:description/>
  <cp:lastModifiedBy>Trey Coleman</cp:lastModifiedBy>
  <cp:revision>2</cp:revision>
  <dcterms:created xsi:type="dcterms:W3CDTF">2023-04-20T00:16:00Z</dcterms:created>
  <dcterms:modified xsi:type="dcterms:W3CDTF">2023-04-20T00:16:00Z</dcterms:modified>
</cp:coreProperties>
</file>